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png" ContentType="image/png"/>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1"/>
        <w:rPr>
          <w:rFonts w:ascii="Times New Roman"/>
          <w:sz w:val="21"/>
        </w:rPr>
      </w:pPr>
    </w:p>
    <w:p>
      <w:pPr>
        <w:pStyle w:val="BodyText"/>
        <w:ind w:left="1556"/>
        <w:rPr>
          <w:rFonts w:ascii="Times New Roman"/>
          <w:sz w:val="20"/>
        </w:rPr>
      </w:pPr>
      <w:r>
        <w:rPr>
          <w:rFonts w:ascii="Times New Roman"/>
          <w:sz w:val="20"/>
        </w:rPr>
        <w:drawing>
          <wp:inline distT="0" distB="0" distL="0" distR="0">
            <wp:extent cx="4216386" cy="174888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216386" cy="174888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8"/>
        <w:ind w:left="522" w:right="523" w:firstLine="0"/>
        <w:jc w:val="center"/>
        <w:rPr>
          <w:b/>
          <w:sz w:val="32"/>
        </w:rPr>
      </w:pPr>
      <w:r>
        <w:rPr>
          <w:b/>
          <w:sz w:val="32"/>
        </w:rPr>
        <w:t>Proyecto de Asistencia Técnica al Sector Energía</w:t>
      </w:r>
    </w:p>
    <w:p>
      <w:pPr>
        <w:pStyle w:val="BodyText"/>
        <w:spacing w:before="9"/>
        <w:rPr>
          <w:b/>
          <w:sz w:val="31"/>
        </w:rPr>
      </w:pPr>
    </w:p>
    <w:p>
      <w:pPr>
        <w:spacing w:before="0"/>
        <w:ind w:left="524" w:right="523" w:firstLine="0"/>
        <w:jc w:val="center"/>
        <w:rPr>
          <w:sz w:val="28"/>
        </w:rPr>
      </w:pPr>
      <w:r>
        <w:rPr>
          <w:sz w:val="28"/>
        </w:rPr>
        <w:t>Préstamo BIRF No. 7217-DO</w:t>
      </w:r>
    </w:p>
    <w:p>
      <w:pPr>
        <w:pStyle w:val="BodyText"/>
        <w:rPr>
          <w:sz w:val="34"/>
        </w:rPr>
      </w:pPr>
    </w:p>
    <w:p>
      <w:pPr>
        <w:pStyle w:val="BodyText"/>
        <w:spacing w:before="2"/>
        <w:rPr>
          <w:sz w:val="30"/>
        </w:rPr>
      </w:pPr>
    </w:p>
    <w:p>
      <w:pPr>
        <w:spacing w:before="0"/>
        <w:ind w:left="521" w:right="523" w:firstLine="0"/>
        <w:jc w:val="center"/>
        <w:rPr>
          <w:b/>
          <w:sz w:val="32"/>
        </w:rPr>
      </w:pPr>
      <w:r>
        <w:rPr>
          <w:b/>
          <w:sz w:val="32"/>
        </w:rPr>
        <w:t>PLAN ENERGÉTICO NACIONAL - PEN</w:t>
      </w:r>
    </w:p>
    <w:p>
      <w:pPr>
        <w:pStyle w:val="Heading1"/>
        <w:spacing w:before="338"/>
        <w:ind w:left="523"/>
        <w:rPr>
          <w:rFonts w:ascii="Tahoma" w:hAnsi="Tahoma"/>
        </w:rPr>
      </w:pPr>
      <w:r>
        <w:rPr>
          <w:rFonts w:ascii="Tahoma" w:hAnsi="Tahoma"/>
        </w:rPr>
        <w:t>Versión Final</w:t>
      </w:r>
    </w:p>
    <w:p>
      <w:pPr>
        <w:pStyle w:val="BodyText"/>
        <w:rPr>
          <w:b/>
          <w:sz w:val="34"/>
        </w:rPr>
      </w:pPr>
    </w:p>
    <w:p>
      <w:pPr>
        <w:pStyle w:val="BodyText"/>
        <w:spacing w:before="3"/>
        <w:rPr>
          <w:b/>
          <w:sz w:val="29"/>
        </w:rPr>
      </w:pPr>
    </w:p>
    <w:p>
      <w:pPr>
        <w:pStyle w:val="Title"/>
      </w:pPr>
      <w:r>
        <w:rPr/>
        <w:t>PREPARADO POR:</w:t>
      </w:r>
    </w:p>
    <w:p>
      <w:pPr>
        <w:pStyle w:val="BodyText"/>
        <w:spacing w:before="8"/>
        <w:rPr>
          <w:b/>
          <w:i/>
          <w:sz w:val="31"/>
        </w:rPr>
      </w:pPr>
    </w:p>
    <w:p>
      <w:pPr>
        <w:spacing w:before="0"/>
        <w:ind w:left="521" w:right="523" w:firstLine="0"/>
        <w:jc w:val="center"/>
        <w:rPr>
          <w:b/>
          <w:sz w:val="32"/>
        </w:rPr>
      </w:pPr>
      <w:r>
        <w:rPr>
          <w:b/>
          <w:sz w:val="32"/>
        </w:rPr>
        <w:t>Félix Betancourt Aduen</w:t>
      </w:r>
    </w:p>
    <w:p>
      <w:pPr>
        <w:pStyle w:val="BodyText"/>
        <w:rPr>
          <w:b/>
          <w:sz w:val="38"/>
        </w:rPr>
      </w:pPr>
    </w:p>
    <w:p>
      <w:pPr>
        <w:pStyle w:val="BodyText"/>
        <w:rPr>
          <w:b/>
          <w:sz w:val="38"/>
        </w:rPr>
      </w:pPr>
    </w:p>
    <w:p>
      <w:pPr>
        <w:pStyle w:val="BodyText"/>
        <w:rPr>
          <w:b/>
          <w:sz w:val="38"/>
        </w:rPr>
      </w:pPr>
    </w:p>
    <w:p>
      <w:pPr>
        <w:pStyle w:val="BodyText"/>
        <w:spacing w:before="1"/>
        <w:rPr>
          <w:b/>
          <w:sz w:val="46"/>
        </w:rPr>
      </w:pPr>
    </w:p>
    <w:p>
      <w:pPr>
        <w:spacing w:before="0"/>
        <w:ind w:left="524" w:right="523" w:firstLine="0"/>
        <w:jc w:val="center"/>
        <w:rPr>
          <w:sz w:val="32"/>
        </w:rPr>
      </w:pPr>
      <w:r>
        <w:rPr>
          <w:sz w:val="32"/>
        </w:rPr>
        <w:t>Mayo de 2010</w:t>
      </w:r>
    </w:p>
    <w:p>
      <w:pPr>
        <w:spacing w:after="0"/>
        <w:jc w:val="center"/>
        <w:rPr>
          <w:sz w:val="32"/>
        </w:rPr>
        <w:sectPr>
          <w:type w:val="continuous"/>
          <w:pgSz w:w="12240" w:h="15840"/>
          <w:pgMar w:top="1500" w:bottom="280" w:left="1220" w:right="1220"/>
        </w:sectPr>
      </w:pPr>
    </w:p>
    <w:p>
      <w:pPr>
        <w:pStyle w:val="Heading5"/>
        <w:spacing w:before="112"/>
        <w:ind w:left="523" w:right="523" w:firstLine="0"/>
        <w:jc w:val="center"/>
        <w:rPr>
          <w:rFonts w:ascii="Tahoma"/>
        </w:rPr>
      </w:pPr>
      <w:r>
        <w:rPr>
          <w:rFonts w:ascii="Tahoma"/>
        </w:rPr>
        <w:t>TABLA DE CONTENIDO</w:t>
      </w:r>
    </w:p>
    <w:p>
      <w:pPr>
        <w:pStyle w:val="BodyText"/>
        <w:spacing w:before="2"/>
        <w:rPr>
          <w:b/>
          <w:sz w:val="24"/>
        </w:rPr>
      </w:pPr>
    </w:p>
    <w:p>
      <w:pPr>
        <w:pStyle w:val="Heading7"/>
        <w:spacing w:before="0"/>
        <w:ind w:left="219" w:right="6827"/>
      </w:pPr>
      <w:r>
        <w:rPr/>
        <w:t>GLOSARIO </w:t>
      </w:r>
      <w:r>
        <w:rPr>
          <w:w w:val="95"/>
        </w:rPr>
        <w:t>ANTECEDENTES</w:t>
      </w:r>
    </w:p>
    <w:p>
      <w:pPr>
        <w:spacing w:line="289" w:lineRule="exact" w:before="0"/>
        <w:ind w:left="219" w:right="0" w:firstLine="0"/>
        <w:jc w:val="left"/>
        <w:rPr>
          <w:sz w:val="24"/>
        </w:rPr>
      </w:pPr>
      <w:r>
        <w:rPr>
          <w:sz w:val="24"/>
        </w:rPr>
        <w:t>ALCANCE DEL TRABAJO Y ACUERDOS CON LA CNE</w:t>
      </w:r>
    </w:p>
    <w:p>
      <w:pPr>
        <w:spacing w:after="0" w:line="289" w:lineRule="exact"/>
        <w:jc w:val="left"/>
        <w:rPr>
          <w:sz w:val="24"/>
        </w:rPr>
        <w:sectPr>
          <w:headerReference w:type="default" r:id="rId6"/>
          <w:footerReference w:type="default" r:id="rId7"/>
          <w:pgSz w:w="12240" w:h="15840"/>
          <w:pgMar w:header="718" w:footer="954" w:top="1500" w:bottom="1459" w:left="1220" w:right="1220"/>
          <w:pgNumType w:start="1"/>
        </w:sectPr>
      </w:pPr>
    </w:p>
    <w:sdt>
      <w:sdtPr>
        <w:docPartObj>
          <w:docPartGallery w:val="Table of Contents"/>
          <w:docPartUnique/>
        </w:docPartObj>
      </w:sdtPr>
      <w:sdtEndPr/>
      <w:sdtContent>
        <w:p>
          <w:pPr>
            <w:pStyle w:val="TOC1"/>
            <w:tabs>
              <w:tab w:pos="9438" w:val="left" w:leader="dot"/>
            </w:tabs>
          </w:pPr>
          <w:hyperlink w:history="true" w:anchor="_TOC_250098">
            <w:r>
              <w:rPr/>
              <w:t>PEN 2010-2025: LINEAMIENTOS ESTRATÉGICOS PARA EL</w:t>
            </w:r>
            <w:r>
              <w:rPr>
                <w:spacing w:val="-18"/>
              </w:rPr>
              <w:t> </w:t>
            </w:r>
            <w:r>
              <w:rPr/>
              <w:t>SECTOR</w:t>
            </w:r>
            <w:r>
              <w:rPr>
                <w:spacing w:val="-1"/>
              </w:rPr>
              <w:t> </w:t>
            </w:r>
            <w:r>
              <w:rPr/>
              <w:t>ENERGÉTICO</w:t>
              <w:tab/>
              <w:t>1</w:t>
            </w:r>
          </w:hyperlink>
        </w:p>
        <w:p>
          <w:pPr>
            <w:pStyle w:val="TOC3"/>
            <w:tabs>
              <w:tab w:pos="9440" w:val="left" w:leader="dot"/>
            </w:tabs>
          </w:pPr>
          <w:hyperlink w:history="true" w:anchor="_TOC_250097">
            <w:r>
              <w:rPr/>
              <w:t>PRINCIPIOS RECTORES Y</w:t>
            </w:r>
            <w:r>
              <w:rPr>
                <w:spacing w:val="-8"/>
              </w:rPr>
              <w:t> </w:t>
            </w:r>
            <w:r>
              <w:rPr/>
              <w:t>OBJETIVOS</w:t>
            </w:r>
            <w:r>
              <w:rPr>
                <w:spacing w:val="-2"/>
              </w:rPr>
              <w:t> </w:t>
            </w:r>
            <w:r>
              <w:rPr/>
              <w:t>ESTRATÉGICOS</w:t>
              <w:tab/>
              <w:t>1</w:t>
            </w:r>
          </w:hyperlink>
        </w:p>
        <w:p>
          <w:pPr>
            <w:pStyle w:val="TOC2"/>
            <w:numPr>
              <w:ilvl w:val="1"/>
              <w:numId w:val="1"/>
            </w:numPr>
            <w:tabs>
              <w:tab w:pos="1019" w:val="left" w:leader="none"/>
              <w:tab w:pos="1020" w:val="left" w:leader="none"/>
              <w:tab w:pos="9438" w:val="left" w:leader="dot"/>
            </w:tabs>
            <w:spacing w:line="289" w:lineRule="exact" w:before="0" w:after="0"/>
            <w:ind w:left="1019" w:right="0" w:hanging="560"/>
            <w:jc w:val="left"/>
          </w:pPr>
          <w:hyperlink w:history="true" w:anchor="_TOC_250096">
            <w:r>
              <w:rPr/>
              <w:t>PRINCIPIOS</w:t>
            </w:r>
            <w:r>
              <w:rPr>
                <w:spacing w:val="-3"/>
              </w:rPr>
              <w:t> </w:t>
            </w:r>
            <w:r>
              <w:rPr/>
              <w:t>RECTORES</w:t>
              <w:tab/>
              <w:t>1</w:t>
            </w:r>
          </w:hyperlink>
        </w:p>
        <w:p>
          <w:pPr>
            <w:pStyle w:val="TOC2"/>
            <w:numPr>
              <w:ilvl w:val="1"/>
              <w:numId w:val="1"/>
            </w:numPr>
            <w:tabs>
              <w:tab w:pos="1019" w:val="left" w:leader="none"/>
              <w:tab w:pos="1020" w:val="left" w:leader="none"/>
              <w:tab w:pos="9441" w:val="left" w:leader="dot"/>
            </w:tabs>
            <w:spacing w:line="240" w:lineRule="auto" w:before="1" w:after="0"/>
            <w:ind w:left="1019" w:right="0" w:hanging="561"/>
            <w:jc w:val="left"/>
          </w:pPr>
          <w:hyperlink w:history="true" w:anchor="_TOC_250095">
            <w:r>
              <w:rPr/>
              <w:t>LOS</w:t>
            </w:r>
            <w:r>
              <w:rPr>
                <w:spacing w:val="-2"/>
              </w:rPr>
              <w:t> </w:t>
            </w:r>
            <w:r>
              <w:rPr/>
              <w:t>OBJETIVOS</w:t>
            </w:r>
            <w:r>
              <w:rPr>
                <w:spacing w:val="-4"/>
              </w:rPr>
              <w:t> </w:t>
            </w:r>
            <w:r>
              <w:rPr/>
              <w:t>ESTRATÉGICOS</w:t>
              <w:tab/>
              <w:t>1</w:t>
            </w:r>
          </w:hyperlink>
        </w:p>
        <w:p>
          <w:pPr>
            <w:pStyle w:val="TOC2"/>
            <w:tabs>
              <w:tab w:pos="9440" w:val="left" w:leader="dot"/>
            </w:tabs>
            <w:spacing w:before="1"/>
            <w:ind w:left="459" w:firstLine="0"/>
          </w:pPr>
          <w:hyperlink w:history="true" w:anchor="_TOC_250094">
            <w:r>
              <w:rPr/>
              <w:t>INCREMENTAR LA OFERTA DE</w:t>
            </w:r>
            <w:r>
              <w:rPr>
                <w:spacing w:val="-10"/>
              </w:rPr>
              <w:t> </w:t>
            </w:r>
            <w:r>
              <w:rPr/>
              <w:t>ENERGÍA</w:t>
            </w:r>
            <w:r>
              <w:rPr>
                <w:spacing w:val="-1"/>
              </w:rPr>
              <w:t> </w:t>
            </w:r>
            <w:r>
              <w:rPr/>
              <w:t>DOMÉSTICA</w:t>
              <w:tab/>
              <w:t>4</w:t>
            </w:r>
          </w:hyperlink>
        </w:p>
        <w:p>
          <w:pPr>
            <w:pStyle w:val="TOC2"/>
            <w:numPr>
              <w:ilvl w:val="1"/>
              <w:numId w:val="2"/>
            </w:numPr>
            <w:tabs>
              <w:tab w:pos="871" w:val="left" w:leader="none"/>
              <w:tab w:pos="9439" w:val="left" w:leader="dot"/>
            </w:tabs>
            <w:spacing w:line="289" w:lineRule="exact" w:before="0" w:after="0"/>
            <w:ind w:left="870" w:right="0" w:hanging="412"/>
            <w:jc w:val="left"/>
          </w:pPr>
          <w:r>
            <w:rPr/>
            <w:t>DESARROLLAR UN PROGRAMA DE EXPLORACIÓN</w:t>
          </w:r>
          <w:r>
            <w:rPr>
              <w:spacing w:val="-13"/>
            </w:rPr>
            <w:t> </w:t>
          </w:r>
          <w:r>
            <w:rPr/>
            <w:t>DE</w:t>
          </w:r>
          <w:r>
            <w:rPr>
              <w:spacing w:val="-4"/>
            </w:rPr>
            <w:t> </w:t>
          </w:r>
          <w:r>
            <w:rPr/>
            <w:t>HIDROCARBUROS</w:t>
            <w:tab/>
            <w:t>8</w:t>
          </w:r>
        </w:p>
        <w:p>
          <w:pPr>
            <w:pStyle w:val="TOC4"/>
            <w:numPr>
              <w:ilvl w:val="2"/>
              <w:numId w:val="2"/>
            </w:numPr>
            <w:tabs>
              <w:tab w:pos="1390" w:val="left" w:leader="none"/>
              <w:tab w:pos="9440" w:val="left" w:leader="dot"/>
            </w:tabs>
            <w:spacing w:line="240" w:lineRule="auto" w:before="0" w:after="0"/>
            <w:ind w:left="1389" w:right="0" w:hanging="691"/>
            <w:jc w:val="left"/>
          </w:pPr>
          <w:hyperlink w:history="true" w:anchor="_TOC_250093">
            <w:r>
              <w:rPr/>
              <w:t>Situación actual de la Exploración</w:t>
            </w:r>
            <w:r>
              <w:rPr>
                <w:spacing w:val="-18"/>
              </w:rPr>
              <w:t> </w:t>
            </w:r>
            <w:r>
              <w:rPr/>
              <w:t>de</w:t>
            </w:r>
            <w:r>
              <w:rPr>
                <w:spacing w:val="-3"/>
              </w:rPr>
              <w:t> </w:t>
            </w:r>
            <w:r>
              <w:rPr/>
              <w:t>hidrocarburos</w:t>
              <w:tab/>
              <w:t>8</w:t>
            </w:r>
          </w:hyperlink>
        </w:p>
        <w:p>
          <w:pPr>
            <w:pStyle w:val="TOC4"/>
            <w:tabs>
              <w:tab w:pos="1643" w:val="left" w:leader="none"/>
              <w:tab w:pos="9308" w:val="left" w:leader="dot"/>
            </w:tabs>
            <w:spacing w:before="1"/>
            <w:ind w:left="699" w:right="216" w:firstLine="0"/>
          </w:pPr>
          <w:hyperlink w:history="true" w:anchor="_TOC_250092">
            <w:r>
              <w:rPr/>
              <w:t>2.2.2</w:t>
              <w:tab/>
              <w:t>Programa integral de evaluación y promoción del recurso petrolero en República</w:t>
            </w:r>
            <w:r>
              <w:rPr>
                <w:spacing w:val="-6"/>
              </w:rPr>
              <w:t> </w:t>
            </w:r>
            <w:r>
              <w:rPr/>
              <w:t>Dominicana</w:t>
              <w:tab/>
              <w:t>11</w:t>
            </w:r>
          </w:hyperlink>
        </w:p>
        <w:p>
          <w:pPr>
            <w:pStyle w:val="TOC2"/>
            <w:numPr>
              <w:ilvl w:val="1"/>
              <w:numId w:val="2"/>
            </w:numPr>
            <w:tabs>
              <w:tab w:pos="871" w:val="left" w:leader="none"/>
              <w:tab w:pos="9310" w:val="left" w:leader="dot"/>
            </w:tabs>
            <w:spacing w:line="289" w:lineRule="exact" w:before="0" w:after="0"/>
            <w:ind w:left="870" w:right="0" w:hanging="412"/>
            <w:jc w:val="left"/>
          </w:pPr>
          <w:r>
            <w:rPr/>
            <w:t>DESARROLLAR LAS FUENTES DE</w:t>
          </w:r>
          <w:r>
            <w:rPr>
              <w:spacing w:val="-11"/>
            </w:rPr>
            <w:t> </w:t>
          </w:r>
          <w:r>
            <w:rPr/>
            <w:t>ENERGÍA</w:t>
          </w:r>
          <w:r>
            <w:rPr>
              <w:spacing w:val="-2"/>
            </w:rPr>
            <w:t> </w:t>
          </w:r>
          <w:r>
            <w:rPr/>
            <w:t>RENOVABLES</w:t>
            <w:tab/>
            <w:t>13</w:t>
          </w:r>
        </w:p>
        <w:p>
          <w:pPr>
            <w:pStyle w:val="TOC4"/>
            <w:numPr>
              <w:ilvl w:val="2"/>
              <w:numId w:val="2"/>
            </w:numPr>
            <w:tabs>
              <w:tab w:pos="1463" w:val="left" w:leader="none"/>
              <w:tab w:pos="1464" w:val="left" w:leader="none"/>
              <w:tab w:pos="9309" w:val="left" w:leader="dot"/>
            </w:tabs>
            <w:spacing w:line="240" w:lineRule="auto" w:before="1" w:after="0"/>
            <w:ind w:left="1463" w:right="0" w:hanging="765"/>
            <w:jc w:val="left"/>
          </w:pPr>
          <w:hyperlink w:history="true" w:anchor="_TOC_250091">
            <w:r>
              <w:rPr/>
              <w:t>Biocombustibles</w:t>
              <w:tab/>
              <w:t>14</w:t>
            </w:r>
          </w:hyperlink>
        </w:p>
        <w:p>
          <w:pPr>
            <w:pStyle w:val="TOC7"/>
            <w:tabs>
              <w:tab w:pos="9309" w:val="left" w:leader="dot"/>
            </w:tabs>
            <w:spacing w:before="1"/>
          </w:pPr>
          <w:hyperlink w:history="true" w:anchor="_TOC_250090">
            <w:r>
              <w:rPr/>
              <w:t>Etanol</w:t>
              <w:tab/>
              <w:t>15</w:t>
            </w:r>
          </w:hyperlink>
        </w:p>
        <w:p>
          <w:pPr>
            <w:pStyle w:val="TOC7"/>
            <w:tabs>
              <w:tab w:pos="9309" w:val="left" w:leader="dot"/>
            </w:tabs>
          </w:pPr>
          <w:hyperlink w:history="true" w:anchor="_TOC_250089">
            <w:r>
              <w:rPr/>
              <w:t>Biodiesel</w:t>
              <w:tab/>
              <w:t>17</w:t>
            </w:r>
          </w:hyperlink>
        </w:p>
        <w:p>
          <w:pPr>
            <w:pStyle w:val="TOC7"/>
            <w:tabs>
              <w:tab w:pos="9311" w:val="left" w:leader="dot"/>
            </w:tabs>
            <w:spacing w:line="240" w:lineRule="auto"/>
          </w:pPr>
          <w:hyperlink w:history="true" w:anchor="_TOC_250088">
            <w:r>
              <w:rPr/>
              <w:t>Estrategia de mercado de</w:t>
            </w:r>
            <w:r>
              <w:rPr>
                <w:spacing w:val="-10"/>
              </w:rPr>
              <w:t> </w:t>
            </w:r>
            <w:r>
              <w:rPr/>
              <w:t>los</w:t>
            </w:r>
            <w:r>
              <w:rPr>
                <w:spacing w:val="-3"/>
              </w:rPr>
              <w:t> </w:t>
            </w:r>
            <w:r>
              <w:rPr/>
              <w:t>biocombustibles</w:t>
              <w:tab/>
              <w:t>19</w:t>
            </w:r>
          </w:hyperlink>
        </w:p>
        <w:p>
          <w:pPr>
            <w:pStyle w:val="TOC4"/>
            <w:numPr>
              <w:ilvl w:val="2"/>
              <w:numId w:val="2"/>
            </w:numPr>
            <w:tabs>
              <w:tab w:pos="1539" w:val="left" w:leader="none"/>
              <w:tab w:pos="1540" w:val="left" w:leader="none"/>
              <w:tab w:pos="9310" w:val="left" w:leader="dot"/>
            </w:tabs>
            <w:spacing w:line="240" w:lineRule="auto" w:before="1" w:after="0"/>
            <w:ind w:left="1539" w:right="0" w:hanging="841"/>
            <w:jc w:val="left"/>
          </w:pPr>
          <w:hyperlink w:history="true" w:anchor="_TOC_250087">
            <w:r>
              <w:rPr/>
              <w:t>Escenarios para la energía eólica, solar y</w:t>
            </w:r>
            <w:r>
              <w:rPr>
                <w:spacing w:val="-13"/>
              </w:rPr>
              <w:t> </w:t>
            </w:r>
            <w:r>
              <w:rPr/>
              <w:t>otras</w:t>
            </w:r>
            <w:r>
              <w:rPr>
                <w:spacing w:val="-2"/>
              </w:rPr>
              <w:t> </w:t>
            </w:r>
            <w:r>
              <w:rPr/>
              <w:t>FER</w:t>
              <w:tab/>
              <w:t>20</w:t>
            </w:r>
          </w:hyperlink>
        </w:p>
        <w:p>
          <w:pPr>
            <w:pStyle w:val="TOC7"/>
            <w:tabs>
              <w:tab w:pos="9309" w:val="left" w:leader="dot"/>
            </w:tabs>
            <w:spacing w:before="1"/>
          </w:pPr>
          <w:hyperlink w:history="true" w:anchor="_TOC_250086">
            <w:r>
              <w:rPr/>
              <w:t>Escenario</w:t>
            </w:r>
            <w:r>
              <w:rPr>
                <w:spacing w:val="-3"/>
              </w:rPr>
              <w:t> </w:t>
            </w:r>
            <w:r>
              <w:rPr/>
              <w:t>Bajo</w:t>
              <w:tab/>
              <w:t>20</w:t>
            </w:r>
          </w:hyperlink>
        </w:p>
        <w:p>
          <w:pPr>
            <w:pStyle w:val="TOC7"/>
            <w:tabs>
              <w:tab w:pos="9309" w:val="left" w:leader="dot"/>
            </w:tabs>
          </w:pPr>
          <w:hyperlink w:history="true" w:anchor="_TOC_250085">
            <w:r>
              <w:rPr/>
              <w:t>Escenario</w:t>
            </w:r>
            <w:r>
              <w:rPr>
                <w:spacing w:val="-3"/>
              </w:rPr>
              <w:t> </w:t>
            </w:r>
            <w:r>
              <w:rPr/>
              <w:t>Alto</w:t>
              <w:tab/>
              <w:t>22</w:t>
            </w:r>
          </w:hyperlink>
        </w:p>
        <w:p>
          <w:pPr>
            <w:pStyle w:val="TOC4"/>
            <w:numPr>
              <w:ilvl w:val="2"/>
              <w:numId w:val="2"/>
            </w:numPr>
            <w:tabs>
              <w:tab w:pos="1463" w:val="left" w:leader="none"/>
              <w:tab w:pos="1464" w:val="left" w:leader="none"/>
              <w:tab w:pos="9309" w:val="left" w:leader="dot"/>
            </w:tabs>
            <w:spacing w:line="240" w:lineRule="auto" w:before="0" w:after="0"/>
            <w:ind w:left="1463" w:right="0" w:hanging="765"/>
            <w:jc w:val="left"/>
          </w:pPr>
          <w:hyperlink w:history="true" w:anchor="_TOC_250084">
            <w:r>
              <w:rPr/>
              <w:t>Lineamientos estratégicos para la energía eólica, solar y</w:t>
            </w:r>
            <w:r>
              <w:rPr>
                <w:spacing w:val="-19"/>
              </w:rPr>
              <w:t> </w:t>
            </w:r>
            <w:r>
              <w:rPr/>
              <w:t>otras</w:t>
            </w:r>
            <w:r>
              <w:rPr>
                <w:spacing w:val="-3"/>
              </w:rPr>
              <w:t> </w:t>
            </w:r>
            <w:r>
              <w:rPr/>
              <w:t>FER</w:t>
              <w:tab/>
              <w:t>23</w:t>
            </w:r>
          </w:hyperlink>
        </w:p>
        <w:p>
          <w:pPr>
            <w:pStyle w:val="TOC7"/>
            <w:tabs>
              <w:tab w:pos="9309" w:val="left" w:leader="dot"/>
            </w:tabs>
            <w:spacing w:before="1"/>
          </w:pPr>
          <w:hyperlink w:history="true" w:anchor="_TOC_250083">
            <w:r>
              <w:rPr/>
              <w:t>Energía</w:t>
            </w:r>
            <w:r>
              <w:rPr>
                <w:spacing w:val="-4"/>
              </w:rPr>
              <w:t> </w:t>
            </w:r>
            <w:r>
              <w:rPr/>
              <w:t>eólica</w:t>
              <w:tab/>
              <w:t>23</w:t>
            </w:r>
          </w:hyperlink>
        </w:p>
        <w:p>
          <w:pPr>
            <w:pStyle w:val="TOC7"/>
            <w:tabs>
              <w:tab w:pos="9309" w:val="left" w:leader="dot"/>
            </w:tabs>
          </w:pPr>
          <w:hyperlink w:history="true" w:anchor="_TOC_250082">
            <w:r>
              <w:rPr/>
              <w:t>Solar</w:t>
              <w:tab/>
              <w:t>24</w:t>
            </w:r>
          </w:hyperlink>
        </w:p>
        <w:p>
          <w:pPr>
            <w:pStyle w:val="TOC7"/>
            <w:tabs>
              <w:tab w:pos="9308" w:val="left" w:leader="dot"/>
            </w:tabs>
            <w:spacing w:line="240" w:lineRule="auto" w:before="1"/>
          </w:pPr>
          <w:hyperlink w:history="true" w:anchor="_TOC_250081">
            <w:r>
              <w:rPr/>
              <w:t>SFV</w:t>
            </w:r>
            <w:r>
              <w:rPr>
                <w:spacing w:val="-4"/>
              </w:rPr>
              <w:t> </w:t>
            </w:r>
            <w:r>
              <w:rPr/>
              <w:t>(Sistemas</w:t>
            </w:r>
            <w:r>
              <w:rPr>
                <w:spacing w:val="69"/>
              </w:rPr>
              <w:t> </w:t>
            </w:r>
            <w:r>
              <w:rPr/>
              <w:t>Fotovoltaicos)</w:t>
              <w:tab/>
              <w:t>24</w:t>
            </w:r>
          </w:hyperlink>
        </w:p>
        <w:p>
          <w:pPr>
            <w:pStyle w:val="TOC7"/>
            <w:tabs>
              <w:tab w:pos="9311" w:val="left" w:leader="dot"/>
            </w:tabs>
          </w:pPr>
          <w:hyperlink w:history="true" w:anchor="_TOC_250080">
            <w:r>
              <w:rPr/>
              <w:t>Cogeneración en las destilerías</w:t>
            </w:r>
            <w:r>
              <w:rPr>
                <w:spacing w:val="-9"/>
              </w:rPr>
              <w:t> </w:t>
            </w:r>
            <w:r>
              <w:rPr/>
              <w:t>de</w:t>
            </w:r>
            <w:r>
              <w:rPr>
                <w:spacing w:val="-2"/>
              </w:rPr>
              <w:t> </w:t>
            </w:r>
            <w:r>
              <w:rPr/>
              <w:t>alcohol</w:t>
              <w:tab/>
              <w:t>25</w:t>
            </w:r>
          </w:hyperlink>
        </w:p>
        <w:p>
          <w:pPr>
            <w:pStyle w:val="TOC7"/>
            <w:tabs>
              <w:tab w:pos="9311" w:val="left" w:leader="dot"/>
            </w:tabs>
          </w:pPr>
          <w:hyperlink w:history="true" w:anchor="_TOC_250079">
            <w:r>
              <w:rPr/>
              <w:t>Cogeneración en la</w:t>
            </w:r>
            <w:r>
              <w:rPr>
                <w:spacing w:val="-7"/>
              </w:rPr>
              <w:t> </w:t>
            </w:r>
            <w:r>
              <w:rPr/>
              <w:t>industria</w:t>
            </w:r>
            <w:r>
              <w:rPr>
                <w:spacing w:val="-3"/>
              </w:rPr>
              <w:t> </w:t>
            </w:r>
            <w:r>
              <w:rPr/>
              <w:t>azucarera</w:t>
              <w:tab/>
              <w:t>25</w:t>
            </w:r>
          </w:hyperlink>
        </w:p>
        <w:p>
          <w:pPr>
            <w:pStyle w:val="TOC7"/>
            <w:tabs>
              <w:tab w:pos="9308" w:val="left" w:leader="dot"/>
            </w:tabs>
            <w:spacing w:line="240" w:lineRule="auto" w:before="1"/>
          </w:pPr>
          <w:hyperlink w:history="true" w:anchor="_TOC_250078">
            <w:r>
              <w:rPr/>
              <w:t>Cogeneración</w:t>
            </w:r>
            <w:r>
              <w:rPr>
                <w:spacing w:val="-4"/>
              </w:rPr>
              <w:t> </w:t>
            </w:r>
            <w:r>
              <w:rPr/>
              <w:t>industrial</w:t>
              <w:tab/>
              <w:t>25</w:t>
            </w:r>
          </w:hyperlink>
        </w:p>
        <w:p>
          <w:pPr>
            <w:pStyle w:val="TOC7"/>
            <w:tabs>
              <w:tab w:pos="9309" w:val="left" w:leader="dot"/>
            </w:tabs>
            <w:spacing w:line="240" w:lineRule="auto" w:before="1"/>
          </w:pPr>
          <w:hyperlink w:history="true" w:anchor="_TOC_250077">
            <w:r>
              <w:rPr/>
              <w:t>Demás</w:t>
            </w:r>
            <w:r>
              <w:rPr>
                <w:spacing w:val="-1"/>
              </w:rPr>
              <w:t> </w:t>
            </w:r>
            <w:r>
              <w:rPr/>
              <w:t>FER</w:t>
              <w:tab/>
              <w:t>26</w:t>
            </w:r>
          </w:hyperlink>
        </w:p>
        <w:p>
          <w:pPr>
            <w:pStyle w:val="TOC4"/>
            <w:numPr>
              <w:ilvl w:val="2"/>
              <w:numId w:val="2"/>
            </w:numPr>
            <w:tabs>
              <w:tab w:pos="1539" w:val="left" w:leader="none"/>
              <w:tab w:pos="1540" w:val="left" w:leader="none"/>
              <w:tab w:pos="9311" w:val="left" w:leader="dot"/>
            </w:tabs>
            <w:spacing w:line="289" w:lineRule="exact" w:before="1" w:after="0"/>
            <w:ind w:left="1539" w:right="0" w:hanging="841"/>
            <w:jc w:val="left"/>
          </w:pPr>
          <w:hyperlink w:history="true" w:anchor="_TOC_250076">
            <w:r>
              <w:rPr/>
              <w:t>Aspectos</w:t>
            </w:r>
            <w:r>
              <w:rPr>
                <w:spacing w:val="-5"/>
              </w:rPr>
              <w:t> </w:t>
            </w:r>
            <w:r>
              <w:rPr/>
              <w:t>institucionales</w:t>
              <w:tab/>
              <w:t>27</w:t>
            </w:r>
          </w:hyperlink>
        </w:p>
        <w:p>
          <w:pPr>
            <w:pStyle w:val="TOC2"/>
            <w:tabs>
              <w:tab w:pos="9311" w:val="left" w:leader="dot"/>
            </w:tabs>
            <w:ind w:left="459" w:firstLine="0"/>
          </w:pPr>
          <w:r>
            <w:rPr/>
            <w:t>DISMINUIR EL COSTO DE</w:t>
          </w:r>
          <w:r>
            <w:rPr>
              <w:spacing w:val="-9"/>
            </w:rPr>
            <w:t> </w:t>
          </w:r>
          <w:r>
            <w:rPr/>
            <w:t>LA</w:t>
          </w:r>
          <w:r>
            <w:rPr>
              <w:spacing w:val="-1"/>
            </w:rPr>
            <w:t> </w:t>
          </w:r>
          <w:r>
            <w:rPr/>
            <w:t>ENERGÍA</w:t>
            <w:tab/>
            <w:t>29</w:t>
          </w:r>
        </w:p>
        <w:p>
          <w:pPr>
            <w:pStyle w:val="TOC2"/>
            <w:tabs>
              <w:tab w:pos="9310" w:val="left" w:leader="dot"/>
            </w:tabs>
            <w:spacing w:line="240" w:lineRule="auto"/>
            <w:ind w:left="459" w:firstLine="0"/>
          </w:pPr>
          <w:r>
            <w:rPr/>
            <w:t>DESARROLLAR UNA OFERTA DE ENERGÍA SEGURA</w:t>
          </w:r>
          <w:r>
            <w:rPr>
              <w:spacing w:val="-12"/>
            </w:rPr>
            <w:t> </w:t>
          </w:r>
          <w:r>
            <w:rPr/>
            <w:t>Y</w:t>
          </w:r>
          <w:r>
            <w:rPr>
              <w:spacing w:val="-2"/>
            </w:rPr>
            <w:t> </w:t>
          </w:r>
          <w:r>
            <w:rPr/>
            <w:t>CONFIABLE</w:t>
            <w:tab/>
            <w:t>29</w:t>
          </w:r>
        </w:p>
        <w:p>
          <w:pPr>
            <w:pStyle w:val="TOC2"/>
            <w:numPr>
              <w:ilvl w:val="1"/>
              <w:numId w:val="3"/>
            </w:numPr>
            <w:tabs>
              <w:tab w:pos="1100" w:val="left" w:leader="none"/>
              <w:tab w:pos="1101" w:val="left" w:leader="none"/>
              <w:tab w:pos="9310" w:val="left" w:leader="dot"/>
            </w:tabs>
            <w:spacing w:line="289" w:lineRule="exact" w:before="1" w:after="0"/>
            <w:ind w:left="1100" w:right="0" w:hanging="642"/>
            <w:jc w:val="left"/>
          </w:pPr>
          <w:hyperlink w:history="true" w:anchor="_TOC_250075">
            <w:r>
              <w:rPr/>
              <w:t>LÍNEAS ESTRATÉGICAS DEL</w:t>
            </w:r>
            <w:r>
              <w:rPr>
                <w:spacing w:val="-9"/>
              </w:rPr>
              <w:t> </w:t>
            </w:r>
            <w:r>
              <w:rPr/>
              <w:t>SUBSECTOR</w:t>
            </w:r>
            <w:r>
              <w:rPr>
                <w:spacing w:val="-4"/>
              </w:rPr>
              <w:t> </w:t>
            </w:r>
            <w:r>
              <w:rPr/>
              <w:t>ELÉCTRICO</w:t>
              <w:tab/>
              <w:t>29</w:t>
            </w:r>
          </w:hyperlink>
        </w:p>
        <w:p>
          <w:pPr>
            <w:pStyle w:val="TOC4"/>
            <w:numPr>
              <w:ilvl w:val="2"/>
              <w:numId w:val="3"/>
            </w:numPr>
            <w:tabs>
              <w:tab w:pos="1539" w:val="left" w:leader="none"/>
              <w:tab w:pos="1540" w:val="left" w:leader="none"/>
              <w:tab w:pos="9308" w:val="left" w:leader="dot"/>
            </w:tabs>
            <w:spacing w:line="240" w:lineRule="auto" w:before="0" w:after="0"/>
            <w:ind w:left="699" w:right="219" w:firstLine="0"/>
            <w:jc w:val="left"/>
          </w:pPr>
          <w:r>
            <w:rPr/>
            <w:t>Líneas estratégicas de corto y mediano plazo: Plan de acción para modernizar el</w:t>
          </w:r>
          <w:r>
            <w:rPr>
              <w:spacing w:val="-5"/>
            </w:rPr>
            <w:t> </w:t>
          </w:r>
          <w:r>
            <w:rPr/>
            <w:t>sector</w:t>
          </w:r>
          <w:r>
            <w:rPr>
              <w:spacing w:val="-3"/>
            </w:rPr>
            <w:t> </w:t>
          </w:r>
          <w:r>
            <w:rPr/>
            <w:t>eléctrico</w:t>
            <w:tab/>
            <w:t>30</w:t>
          </w:r>
        </w:p>
        <w:p>
          <w:pPr>
            <w:pStyle w:val="TOC7"/>
            <w:tabs>
              <w:tab w:pos="9309" w:val="left" w:leader="dot"/>
            </w:tabs>
            <w:spacing w:before="1"/>
          </w:pPr>
          <w:hyperlink w:history="true" w:anchor="_TOC_250074">
            <w:r>
              <w:rPr/>
              <w:t>Tarifas</w:t>
              <w:tab/>
              <w:t>31</w:t>
            </w:r>
          </w:hyperlink>
        </w:p>
        <w:p>
          <w:pPr>
            <w:pStyle w:val="TOC7"/>
            <w:tabs>
              <w:tab w:pos="9309" w:val="left" w:leader="dot"/>
            </w:tabs>
          </w:pPr>
          <w:hyperlink w:history="true" w:anchor="_TOC_250073">
            <w:r>
              <w:rPr/>
              <w:t>Subsidios</w:t>
              <w:tab/>
              <w:t>32</w:t>
            </w:r>
          </w:hyperlink>
        </w:p>
        <w:p>
          <w:pPr>
            <w:pStyle w:val="TOC7"/>
            <w:tabs>
              <w:tab w:pos="9309" w:val="left" w:leader="dot"/>
            </w:tabs>
            <w:spacing w:line="240" w:lineRule="auto"/>
          </w:pPr>
          <w:hyperlink w:history="true" w:anchor="_TOC_250072">
            <w:r>
              <w:rPr/>
              <w:t>Pérdidas</w:t>
              <w:tab/>
              <w:t>34</w:t>
            </w:r>
          </w:hyperlink>
        </w:p>
        <w:p>
          <w:pPr>
            <w:pStyle w:val="TOC7"/>
            <w:tabs>
              <w:tab w:pos="9309" w:val="left" w:leader="dot"/>
            </w:tabs>
            <w:spacing w:line="240" w:lineRule="auto" w:before="1"/>
          </w:pPr>
          <w:hyperlink w:history="true" w:anchor="_TOC_250071">
            <w:r>
              <w:rPr/>
              <w:t>Gestión</w:t>
              <w:tab/>
              <w:t>34</w:t>
            </w:r>
          </w:hyperlink>
        </w:p>
        <w:p>
          <w:pPr>
            <w:pStyle w:val="TOC7"/>
            <w:tabs>
              <w:tab w:pos="9309" w:val="left" w:leader="dot"/>
            </w:tabs>
            <w:spacing w:before="1"/>
          </w:pPr>
          <w:hyperlink w:history="true" w:anchor="_TOC_250070">
            <w:r>
              <w:rPr/>
              <w:t>Fideicomiso</w:t>
              <w:tab/>
              <w:t>35</w:t>
            </w:r>
          </w:hyperlink>
        </w:p>
        <w:p>
          <w:pPr>
            <w:pStyle w:val="TOC7"/>
            <w:tabs>
              <w:tab w:pos="9309" w:val="left" w:leader="dot"/>
            </w:tabs>
          </w:pPr>
          <w:hyperlink w:history="true" w:anchor="_TOC_250069">
            <w:r>
              <w:rPr/>
              <w:t>Institucionalidad</w:t>
              <w:tab/>
              <w:t>35</w:t>
            </w:r>
          </w:hyperlink>
        </w:p>
        <w:p>
          <w:pPr>
            <w:pStyle w:val="TOC7"/>
            <w:tabs>
              <w:tab w:pos="9309" w:val="left" w:leader="dot"/>
            </w:tabs>
            <w:spacing w:line="240" w:lineRule="auto"/>
          </w:pPr>
          <w:hyperlink w:history="true" w:anchor="_TOC_250068">
            <w:r>
              <w:rPr/>
              <w:t>Inversiones</w:t>
              <w:tab/>
              <w:t>37</w:t>
            </w:r>
          </w:hyperlink>
        </w:p>
        <w:p>
          <w:pPr>
            <w:pStyle w:val="TOC4"/>
            <w:numPr>
              <w:ilvl w:val="2"/>
              <w:numId w:val="3"/>
            </w:numPr>
            <w:tabs>
              <w:tab w:pos="1539" w:val="left" w:leader="none"/>
              <w:tab w:pos="1540" w:val="left" w:leader="none"/>
              <w:tab w:pos="9311" w:val="left" w:leader="dot"/>
            </w:tabs>
            <w:spacing w:line="240" w:lineRule="auto" w:before="1" w:after="20"/>
            <w:ind w:left="1539" w:right="0" w:hanging="841"/>
            <w:jc w:val="left"/>
          </w:pPr>
          <w:r>
            <w:rPr/>
            <w:t>Líneas estratégicas de</w:t>
          </w:r>
          <w:r>
            <w:rPr>
              <w:spacing w:val="-4"/>
            </w:rPr>
            <w:t> </w:t>
          </w:r>
          <w:r>
            <w:rPr/>
            <w:t>largo</w:t>
          </w:r>
          <w:r>
            <w:rPr>
              <w:spacing w:val="-3"/>
            </w:rPr>
            <w:t> </w:t>
          </w:r>
          <w:r>
            <w:rPr/>
            <w:t>plazo</w:t>
            <w:tab/>
            <w:t>41</w:t>
          </w:r>
        </w:p>
        <w:p>
          <w:pPr>
            <w:pStyle w:val="TOC7"/>
            <w:tabs>
              <w:tab w:pos="9308" w:val="left" w:leader="dot"/>
            </w:tabs>
            <w:spacing w:line="240" w:lineRule="auto" w:before="112"/>
          </w:pPr>
          <w:hyperlink w:history="true" w:anchor="_TOC_250067">
            <w:r>
              <w:rPr/>
              <w:t>Sostenibilidad</w:t>
            </w:r>
            <w:r>
              <w:rPr>
                <w:spacing w:val="-5"/>
              </w:rPr>
              <w:t> </w:t>
            </w:r>
            <w:r>
              <w:rPr/>
              <w:t>financiera</w:t>
              <w:tab/>
              <w:t>42</w:t>
            </w:r>
          </w:hyperlink>
        </w:p>
        <w:p>
          <w:pPr>
            <w:pStyle w:val="TOC7"/>
            <w:tabs>
              <w:tab w:pos="9309" w:val="left" w:leader="dot"/>
            </w:tabs>
            <w:spacing w:line="240" w:lineRule="auto" w:before="1"/>
            <w:ind w:right="216"/>
          </w:pPr>
          <w:hyperlink w:history="true" w:anchor="_TOC_250066">
            <w:r>
              <w:rPr/>
              <w:t>Disminuir la dependencia de derivados del petróleo y diversificar las fuentes de generación</w:t>
              <w:tab/>
              <w:t>43</w:t>
            </w:r>
          </w:hyperlink>
        </w:p>
        <w:p>
          <w:pPr>
            <w:pStyle w:val="TOC7"/>
            <w:tabs>
              <w:tab w:pos="9311" w:val="left" w:leader="dot"/>
            </w:tabs>
            <w:spacing w:before="2"/>
          </w:pPr>
          <w:hyperlink w:history="true" w:anchor="_TOC_250065">
            <w:r>
              <w:rPr/>
              <w:t>Recuperar la confianza de</w:t>
            </w:r>
            <w:r>
              <w:rPr>
                <w:spacing w:val="-10"/>
              </w:rPr>
              <w:t> </w:t>
            </w:r>
            <w:r>
              <w:rPr/>
              <w:t>los</w:t>
            </w:r>
            <w:r>
              <w:rPr>
                <w:spacing w:val="-2"/>
              </w:rPr>
              <w:t> </w:t>
            </w:r>
            <w:r>
              <w:rPr/>
              <w:t>inversionistas</w:t>
              <w:tab/>
              <w:t>45</w:t>
            </w:r>
          </w:hyperlink>
        </w:p>
        <w:p>
          <w:pPr>
            <w:pStyle w:val="TOC7"/>
            <w:tabs>
              <w:tab w:pos="9310" w:val="left" w:leader="dot"/>
            </w:tabs>
          </w:pPr>
          <w:hyperlink w:history="true" w:anchor="_TOC_250064">
            <w:r>
              <w:rPr/>
              <w:t>Recuperar la pérdida de confianza de</w:t>
            </w:r>
            <w:r>
              <w:rPr>
                <w:spacing w:val="-15"/>
              </w:rPr>
              <w:t> </w:t>
            </w:r>
            <w:r>
              <w:rPr/>
              <w:t>los</w:t>
            </w:r>
            <w:r>
              <w:rPr>
                <w:spacing w:val="-1"/>
              </w:rPr>
              <w:t> </w:t>
            </w:r>
            <w:r>
              <w:rPr/>
              <w:t>consumidores</w:t>
              <w:tab/>
              <w:t>46</w:t>
            </w:r>
          </w:hyperlink>
        </w:p>
        <w:p>
          <w:pPr>
            <w:pStyle w:val="TOC4"/>
            <w:numPr>
              <w:ilvl w:val="2"/>
              <w:numId w:val="3"/>
            </w:numPr>
            <w:tabs>
              <w:tab w:pos="1539" w:val="left" w:leader="none"/>
              <w:tab w:pos="1540" w:val="left" w:leader="none"/>
              <w:tab w:pos="9310" w:val="left" w:leader="dot"/>
            </w:tabs>
            <w:spacing w:line="240" w:lineRule="auto" w:before="0" w:after="0"/>
            <w:ind w:left="1539" w:right="0" w:hanging="841"/>
            <w:jc w:val="left"/>
          </w:pPr>
          <w:r>
            <w:rPr/>
            <w:t>Estrategia de expansión</w:t>
          </w:r>
          <w:r>
            <w:rPr>
              <w:spacing w:val="-7"/>
            </w:rPr>
            <w:t> </w:t>
          </w:r>
          <w:r>
            <w:rPr/>
            <w:t>de</w:t>
          </w:r>
          <w:r>
            <w:rPr>
              <w:spacing w:val="-3"/>
            </w:rPr>
            <w:t> </w:t>
          </w:r>
          <w:r>
            <w:rPr/>
            <w:t>generación</w:t>
            <w:tab/>
            <w:t>47</w:t>
          </w:r>
        </w:p>
        <w:p>
          <w:pPr>
            <w:pStyle w:val="TOC2"/>
            <w:numPr>
              <w:ilvl w:val="1"/>
              <w:numId w:val="3"/>
            </w:numPr>
            <w:tabs>
              <w:tab w:pos="1100" w:val="left" w:leader="none"/>
              <w:tab w:pos="1101" w:val="left" w:leader="none"/>
              <w:tab w:pos="9309" w:val="left" w:leader="dot"/>
            </w:tabs>
            <w:spacing w:line="289" w:lineRule="exact" w:before="1" w:after="0"/>
            <w:ind w:left="1100" w:right="0" w:hanging="642"/>
            <w:jc w:val="left"/>
          </w:pPr>
          <w:r>
            <w:rPr/>
            <w:t>LÍNEAS ESTRATÉGICAS DEL SUBSECTOR</w:t>
          </w:r>
          <w:r>
            <w:rPr>
              <w:spacing w:val="-9"/>
            </w:rPr>
            <w:t> </w:t>
          </w:r>
          <w:r>
            <w:rPr/>
            <w:t>DE</w:t>
          </w:r>
          <w:r>
            <w:rPr>
              <w:spacing w:val="-3"/>
            </w:rPr>
            <w:t> </w:t>
          </w:r>
          <w:r>
            <w:rPr/>
            <w:t>HIDROCARBUROS</w:t>
            <w:tab/>
            <w:t>49</w:t>
          </w:r>
        </w:p>
        <w:p>
          <w:pPr>
            <w:pStyle w:val="TOC4"/>
            <w:numPr>
              <w:ilvl w:val="2"/>
              <w:numId w:val="3"/>
            </w:numPr>
            <w:tabs>
              <w:tab w:pos="1539" w:val="left" w:leader="none"/>
              <w:tab w:pos="1540" w:val="left" w:leader="none"/>
              <w:tab w:pos="9309" w:val="left" w:leader="dot"/>
            </w:tabs>
            <w:spacing w:line="289" w:lineRule="exact" w:before="0" w:after="0"/>
            <w:ind w:left="1539" w:right="0" w:hanging="841"/>
            <w:jc w:val="left"/>
          </w:pPr>
          <w:hyperlink w:history="true" w:anchor="_TOC_250063">
            <w:r>
              <w:rPr/>
              <w:t>Incrementar la capacidad de almacenamiento</w:t>
            </w:r>
            <w:r>
              <w:rPr>
                <w:spacing w:val="-15"/>
              </w:rPr>
              <w:t> </w:t>
            </w:r>
            <w:r>
              <w:rPr/>
              <w:t>de</w:t>
            </w:r>
            <w:r>
              <w:rPr>
                <w:spacing w:val="-3"/>
              </w:rPr>
              <w:t> </w:t>
            </w:r>
            <w:r>
              <w:rPr/>
              <w:t>combustibles</w:t>
              <w:tab/>
              <w:t>51</w:t>
            </w:r>
          </w:hyperlink>
        </w:p>
        <w:p>
          <w:pPr>
            <w:pStyle w:val="TOC8"/>
            <w:tabs>
              <w:tab w:pos="9311" w:val="left" w:leader="dot"/>
            </w:tabs>
            <w:spacing w:line="240" w:lineRule="auto"/>
          </w:pPr>
          <w:hyperlink w:history="true" w:anchor="_TOC_250062">
            <w:r>
              <w:rPr/>
              <w:t>Situación actual del almacenamiento</w:t>
            </w:r>
            <w:r>
              <w:rPr>
                <w:spacing w:val="-14"/>
              </w:rPr>
              <w:t> </w:t>
            </w:r>
            <w:r>
              <w:rPr/>
              <w:t>de</w:t>
            </w:r>
            <w:r>
              <w:rPr>
                <w:spacing w:val="-3"/>
              </w:rPr>
              <w:t> </w:t>
            </w:r>
            <w:r>
              <w:rPr/>
              <w:t>combustibles</w:t>
              <w:tab/>
              <w:t>51</w:t>
            </w:r>
          </w:hyperlink>
        </w:p>
        <w:p>
          <w:pPr>
            <w:pStyle w:val="TOC8"/>
            <w:tabs>
              <w:tab w:pos="9311" w:val="left" w:leader="dot"/>
            </w:tabs>
            <w:spacing w:before="0"/>
          </w:pPr>
          <w:hyperlink w:history="true" w:anchor="_TOC_250061">
            <w:r>
              <w:rPr/>
              <w:t>Estrategia de almacenamiento</w:t>
            </w:r>
            <w:r>
              <w:rPr>
                <w:spacing w:val="-10"/>
              </w:rPr>
              <w:t> </w:t>
            </w:r>
            <w:r>
              <w:rPr/>
              <w:t>de</w:t>
            </w:r>
            <w:r>
              <w:rPr>
                <w:spacing w:val="-3"/>
              </w:rPr>
              <w:t> </w:t>
            </w:r>
            <w:r>
              <w:rPr/>
              <w:t>combustibles</w:t>
              <w:tab/>
              <w:t>52</w:t>
            </w:r>
          </w:hyperlink>
        </w:p>
        <w:p>
          <w:pPr>
            <w:pStyle w:val="TOC4"/>
            <w:numPr>
              <w:ilvl w:val="2"/>
              <w:numId w:val="3"/>
            </w:numPr>
            <w:tabs>
              <w:tab w:pos="1539" w:val="left" w:leader="none"/>
              <w:tab w:pos="1540" w:val="left" w:leader="none"/>
              <w:tab w:pos="9310" w:val="left" w:leader="dot"/>
            </w:tabs>
            <w:spacing w:line="289" w:lineRule="exact" w:before="0" w:after="0"/>
            <w:ind w:left="1539" w:right="0" w:hanging="840"/>
            <w:jc w:val="left"/>
          </w:pPr>
          <w:hyperlink w:history="true" w:anchor="_TOC_250060">
            <w:r>
              <w:rPr/>
              <w:t>Promoción de una refinería de</w:t>
            </w:r>
            <w:r>
              <w:rPr>
                <w:spacing w:val="-10"/>
              </w:rPr>
              <w:t> </w:t>
            </w:r>
            <w:r>
              <w:rPr/>
              <w:t>alta</w:t>
            </w:r>
            <w:r>
              <w:rPr>
                <w:spacing w:val="-4"/>
              </w:rPr>
              <w:t> </w:t>
            </w:r>
            <w:r>
              <w:rPr/>
              <w:t>conversión</w:t>
              <w:tab/>
              <w:t>52</w:t>
            </w:r>
          </w:hyperlink>
        </w:p>
        <w:p>
          <w:pPr>
            <w:pStyle w:val="TOC8"/>
            <w:tabs>
              <w:tab w:pos="9308" w:val="left" w:leader="dot"/>
            </w:tabs>
            <w:spacing w:line="240" w:lineRule="auto"/>
          </w:pPr>
          <w:hyperlink w:history="true" w:anchor="_TOC_250059">
            <w:r>
              <w:rPr/>
              <w:t>Situación actual de</w:t>
            </w:r>
            <w:r>
              <w:rPr>
                <w:spacing w:val="-7"/>
              </w:rPr>
              <w:t> </w:t>
            </w:r>
            <w:r>
              <w:rPr/>
              <w:t>la</w:t>
            </w:r>
            <w:r>
              <w:rPr>
                <w:spacing w:val="-4"/>
              </w:rPr>
              <w:t> </w:t>
            </w:r>
            <w:r>
              <w:rPr/>
              <w:t>refinación</w:t>
              <w:tab/>
              <w:t>52</w:t>
            </w:r>
          </w:hyperlink>
        </w:p>
        <w:p>
          <w:pPr>
            <w:pStyle w:val="TOC8"/>
            <w:tabs>
              <w:tab w:pos="9308" w:val="left" w:leader="dot"/>
            </w:tabs>
            <w:spacing w:line="240" w:lineRule="auto"/>
          </w:pPr>
          <w:hyperlink w:history="true" w:anchor="_TOC_250058">
            <w:r>
              <w:rPr/>
              <w:t>Estrategia</w:t>
            </w:r>
            <w:r>
              <w:rPr>
                <w:spacing w:val="-2"/>
              </w:rPr>
              <w:t> </w:t>
            </w:r>
            <w:r>
              <w:rPr/>
              <w:t>de</w:t>
            </w:r>
            <w:r>
              <w:rPr>
                <w:spacing w:val="-2"/>
              </w:rPr>
              <w:t> </w:t>
            </w:r>
            <w:r>
              <w:rPr/>
              <w:t>refinación</w:t>
              <w:tab/>
              <w:t>53</w:t>
            </w:r>
          </w:hyperlink>
        </w:p>
        <w:p>
          <w:pPr>
            <w:pStyle w:val="TOC4"/>
            <w:numPr>
              <w:ilvl w:val="2"/>
              <w:numId w:val="3"/>
            </w:numPr>
            <w:tabs>
              <w:tab w:pos="1539" w:val="left" w:leader="none"/>
              <w:tab w:pos="1540" w:val="left" w:leader="none"/>
              <w:tab w:pos="9310" w:val="left" w:leader="dot"/>
            </w:tabs>
            <w:spacing w:line="289" w:lineRule="exact" w:before="1" w:after="0"/>
            <w:ind w:left="1539" w:right="0" w:hanging="840"/>
            <w:jc w:val="left"/>
          </w:pPr>
          <w:hyperlink w:history="true" w:anchor="_TOC_250057">
            <w:r>
              <w:rPr/>
              <w:t>Institucionalizar y regularizar  el uso vehicular</w:t>
            </w:r>
            <w:r>
              <w:rPr>
                <w:spacing w:val="-15"/>
              </w:rPr>
              <w:t> </w:t>
            </w:r>
            <w:r>
              <w:rPr/>
              <w:t>del</w:t>
            </w:r>
            <w:r>
              <w:rPr>
                <w:spacing w:val="-2"/>
              </w:rPr>
              <w:t> </w:t>
            </w:r>
            <w:r>
              <w:rPr/>
              <w:t>GLP</w:t>
              <w:tab/>
              <w:t>55</w:t>
            </w:r>
          </w:hyperlink>
        </w:p>
        <w:p>
          <w:pPr>
            <w:pStyle w:val="TOC8"/>
            <w:tabs>
              <w:tab w:pos="9311" w:val="left" w:leader="dot"/>
            </w:tabs>
            <w:spacing w:before="0"/>
          </w:pPr>
          <w:hyperlink w:history="true" w:anchor="_TOC_250056">
            <w:r>
              <w:rPr/>
              <w:t>Situación actual del uso vehicular</w:t>
            </w:r>
            <w:r>
              <w:rPr>
                <w:spacing w:val="-12"/>
              </w:rPr>
              <w:t> </w:t>
            </w:r>
            <w:r>
              <w:rPr/>
              <w:t>del</w:t>
            </w:r>
            <w:r>
              <w:rPr>
                <w:spacing w:val="-2"/>
              </w:rPr>
              <w:t> </w:t>
            </w:r>
            <w:r>
              <w:rPr/>
              <w:t>GLP</w:t>
              <w:tab/>
              <w:t>55</w:t>
            </w:r>
          </w:hyperlink>
        </w:p>
        <w:p>
          <w:pPr>
            <w:pStyle w:val="TOC8"/>
            <w:tabs>
              <w:tab w:pos="9311" w:val="left" w:leader="dot"/>
            </w:tabs>
            <w:spacing w:line="240" w:lineRule="auto" w:before="0"/>
          </w:pPr>
          <w:hyperlink w:history="true" w:anchor="_TOC_250055">
            <w:r>
              <w:rPr/>
              <w:t>Estrategia de uso vehicular</w:t>
            </w:r>
            <w:r>
              <w:rPr>
                <w:spacing w:val="-8"/>
              </w:rPr>
              <w:t> </w:t>
            </w:r>
            <w:r>
              <w:rPr/>
              <w:t>del</w:t>
            </w:r>
            <w:r>
              <w:rPr>
                <w:spacing w:val="-2"/>
              </w:rPr>
              <w:t> </w:t>
            </w:r>
            <w:r>
              <w:rPr/>
              <w:t>GLP</w:t>
              <w:tab/>
              <w:t>56</w:t>
            </w:r>
          </w:hyperlink>
        </w:p>
        <w:p>
          <w:pPr>
            <w:pStyle w:val="TOC6"/>
            <w:numPr>
              <w:ilvl w:val="2"/>
              <w:numId w:val="3"/>
            </w:numPr>
            <w:tabs>
              <w:tab w:pos="1539" w:val="left" w:leader="none"/>
              <w:tab w:pos="1540" w:val="left" w:leader="none"/>
              <w:tab w:pos="9309" w:val="left" w:leader="dot"/>
            </w:tabs>
            <w:spacing w:line="240" w:lineRule="auto" w:before="1" w:after="0"/>
            <w:ind w:left="700" w:right="218" w:firstLine="0"/>
            <w:jc w:val="left"/>
          </w:pPr>
          <w:hyperlink w:history="true" w:anchor="_TOC_250054">
            <w:r>
              <w:rPr/>
              <w:t>Eliminar los elementos distorsionadores del sistema impositivo de los combustibles</w:t>
              <w:tab/>
              <w:t>57</w:t>
            </w:r>
          </w:hyperlink>
        </w:p>
        <w:p>
          <w:pPr>
            <w:pStyle w:val="TOC4"/>
            <w:numPr>
              <w:ilvl w:val="2"/>
              <w:numId w:val="3"/>
            </w:numPr>
            <w:tabs>
              <w:tab w:pos="1539" w:val="left" w:leader="none"/>
              <w:tab w:pos="1540" w:val="left" w:leader="none"/>
              <w:tab w:pos="9310" w:val="left" w:leader="dot"/>
            </w:tabs>
            <w:spacing w:line="289" w:lineRule="exact" w:before="0" w:after="0"/>
            <w:ind w:left="1539" w:right="0" w:hanging="840"/>
            <w:jc w:val="left"/>
          </w:pPr>
          <w:hyperlink w:history="true" w:anchor="_TOC_250053">
            <w:r>
              <w:rPr/>
              <w:t>Desarrollar el mercado de gas natural – oferta</w:t>
            </w:r>
            <w:r>
              <w:rPr>
                <w:spacing w:val="-14"/>
              </w:rPr>
              <w:t> </w:t>
            </w:r>
            <w:r>
              <w:rPr/>
              <w:t>y</w:t>
            </w:r>
            <w:r>
              <w:rPr>
                <w:spacing w:val="-1"/>
              </w:rPr>
              <w:t> </w:t>
            </w:r>
            <w:r>
              <w:rPr/>
              <w:t>demanda</w:t>
              <w:tab/>
              <w:t>58</w:t>
            </w:r>
          </w:hyperlink>
        </w:p>
        <w:p>
          <w:pPr>
            <w:pStyle w:val="TOC8"/>
            <w:tabs>
              <w:tab w:pos="9309" w:val="left" w:leader="dot"/>
            </w:tabs>
            <w:spacing w:line="240" w:lineRule="auto"/>
          </w:pPr>
          <w:hyperlink w:history="true" w:anchor="_TOC_250052">
            <w:r>
              <w:rPr/>
              <w:t>Generación</w:t>
            </w:r>
            <w:r>
              <w:rPr>
                <w:spacing w:val="-3"/>
              </w:rPr>
              <w:t> </w:t>
            </w:r>
            <w:r>
              <w:rPr/>
              <w:t>eléctrica</w:t>
              <w:tab/>
              <w:t>59</w:t>
            </w:r>
          </w:hyperlink>
        </w:p>
        <w:p>
          <w:pPr>
            <w:pStyle w:val="TOC8"/>
            <w:tabs>
              <w:tab w:pos="9309" w:val="left" w:leader="dot"/>
            </w:tabs>
            <w:spacing w:before="0"/>
          </w:pPr>
          <w:hyperlink w:history="true" w:anchor="_TOC_250051">
            <w:r>
              <w:rPr/>
              <w:t>Mercado</w:t>
            </w:r>
            <w:r>
              <w:rPr>
                <w:spacing w:val="-4"/>
              </w:rPr>
              <w:t> </w:t>
            </w:r>
            <w:r>
              <w:rPr/>
              <w:t>industrial</w:t>
              <w:tab/>
              <w:t>60</w:t>
            </w:r>
          </w:hyperlink>
        </w:p>
        <w:p>
          <w:pPr>
            <w:pStyle w:val="TOC8"/>
            <w:tabs>
              <w:tab w:pos="9309" w:val="left" w:leader="dot"/>
            </w:tabs>
            <w:spacing w:before="0"/>
          </w:pPr>
          <w:hyperlink w:history="true" w:anchor="_TOC_250050">
            <w:r>
              <w:rPr/>
              <w:t>Sector</w:t>
            </w:r>
            <w:r>
              <w:rPr>
                <w:spacing w:val="-5"/>
              </w:rPr>
              <w:t> </w:t>
            </w:r>
            <w:r>
              <w:rPr/>
              <w:t>transporte</w:t>
              <w:tab/>
              <w:t>60</w:t>
            </w:r>
          </w:hyperlink>
        </w:p>
        <w:p>
          <w:pPr>
            <w:pStyle w:val="TOC8"/>
            <w:tabs>
              <w:tab w:pos="9311" w:val="left" w:leader="dot"/>
            </w:tabs>
            <w:spacing w:line="240" w:lineRule="auto"/>
          </w:pPr>
          <w:hyperlink w:history="true" w:anchor="_TOC_250049">
            <w:r>
              <w:rPr/>
              <w:t>Desarrollo previsto de los mercados de</w:t>
            </w:r>
            <w:r>
              <w:rPr>
                <w:spacing w:val="-12"/>
              </w:rPr>
              <w:t> </w:t>
            </w:r>
            <w:r>
              <w:rPr/>
              <w:t>gas</w:t>
            </w:r>
            <w:r>
              <w:rPr>
                <w:spacing w:val="-2"/>
              </w:rPr>
              <w:t> </w:t>
            </w:r>
            <w:r>
              <w:rPr/>
              <w:t>natural</w:t>
              <w:tab/>
              <w:t>60</w:t>
            </w:r>
          </w:hyperlink>
        </w:p>
        <w:p>
          <w:pPr>
            <w:pStyle w:val="TOC8"/>
            <w:tabs>
              <w:tab w:pos="9311" w:val="left" w:leader="dot"/>
            </w:tabs>
          </w:pPr>
          <w:hyperlink w:history="true" w:anchor="_TOC_250048">
            <w:r>
              <w:rPr/>
              <w:t>Marco regulatorio para el</w:t>
            </w:r>
            <w:r>
              <w:rPr>
                <w:spacing w:val="-7"/>
              </w:rPr>
              <w:t> </w:t>
            </w:r>
            <w:r>
              <w:rPr/>
              <w:t>gas</w:t>
            </w:r>
            <w:r>
              <w:rPr>
                <w:spacing w:val="-2"/>
              </w:rPr>
              <w:t> </w:t>
            </w:r>
            <w:r>
              <w:rPr/>
              <w:t>natural</w:t>
              <w:tab/>
              <w:t>61</w:t>
            </w:r>
          </w:hyperlink>
        </w:p>
        <w:p>
          <w:pPr>
            <w:pStyle w:val="TOC3"/>
            <w:tabs>
              <w:tab w:pos="9309" w:val="left" w:leader="dot"/>
            </w:tabs>
          </w:pPr>
          <w:hyperlink w:history="true" w:anchor="_TOC_250047">
            <w:r>
              <w:rPr/>
              <w:t>INCREMENTAR LA EFICIENCIA ENERGÉTICA Y EL USO RACIONAL</w:t>
            </w:r>
            <w:r>
              <w:rPr>
                <w:spacing w:val="-18"/>
              </w:rPr>
              <w:t> </w:t>
            </w:r>
            <w:r>
              <w:rPr/>
              <w:t>DE</w:t>
            </w:r>
            <w:r>
              <w:rPr>
                <w:spacing w:val="-3"/>
              </w:rPr>
              <w:t> </w:t>
            </w:r>
            <w:r>
              <w:rPr/>
              <w:t>ENERGÍA</w:t>
              <w:tab/>
              <w:t>63</w:t>
            </w:r>
          </w:hyperlink>
        </w:p>
        <w:p>
          <w:pPr>
            <w:pStyle w:val="TOC4"/>
            <w:numPr>
              <w:ilvl w:val="1"/>
              <w:numId w:val="4"/>
            </w:numPr>
            <w:tabs>
              <w:tab w:pos="1259" w:val="left" w:leader="none"/>
              <w:tab w:pos="1260" w:val="left" w:leader="none"/>
              <w:tab w:pos="9309" w:val="left" w:leader="dot"/>
            </w:tabs>
            <w:spacing w:line="240" w:lineRule="auto" w:before="0" w:after="0"/>
            <w:ind w:left="1259" w:right="0" w:hanging="560"/>
            <w:jc w:val="left"/>
          </w:pPr>
          <w:r>
            <w:rPr/>
            <w:t>LOS PROGRAMAS  DE URE Y LOS AHORROS ESTIMADOS</w:t>
          </w:r>
          <w:r>
            <w:rPr>
              <w:spacing w:val="-18"/>
            </w:rPr>
            <w:t> </w:t>
          </w:r>
          <w:r>
            <w:rPr/>
            <w:t>POR</w:t>
          </w:r>
          <w:r>
            <w:rPr>
              <w:spacing w:val="-3"/>
            </w:rPr>
            <w:t> </w:t>
          </w:r>
          <w:r>
            <w:rPr/>
            <w:t>SECTORES</w:t>
            <w:tab/>
            <w:t>63</w:t>
          </w:r>
        </w:p>
        <w:p>
          <w:pPr>
            <w:pStyle w:val="TOC8"/>
            <w:tabs>
              <w:tab w:pos="9309" w:val="left" w:leader="dot"/>
            </w:tabs>
          </w:pPr>
          <w:hyperlink w:history="true" w:anchor="_TOC_250046">
            <w:r>
              <w:rPr/>
              <w:t>Sector</w:t>
            </w:r>
            <w:r>
              <w:rPr>
                <w:spacing w:val="-4"/>
              </w:rPr>
              <w:t> </w:t>
            </w:r>
            <w:r>
              <w:rPr/>
              <w:t>Residencial</w:t>
              <w:tab/>
              <w:t>63</w:t>
            </w:r>
          </w:hyperlink>
        </w:p>
        <w:p>
          <w:pPr>
            <w:pStyle w:val="TOC8"/>
            <w:tabs>
              <w:tab w:pos="9311" w:val="left" w:leader="dot"/>
            </w:tabs>
            <w:spacing w:before="0"/>
          </w:pPr>
          <w:hyperlink w:history="true" w:anchor="_TOC_250045">
            <w:r>
              <w:rPr/>
              <w:t>Sector  hoteles, restaurantes,  comercios,  servicios</w:t>
            </w:r>
            <w:r>
              <w:rPr>
                <w:spacing w:val="-16"/>
              </w:rPr>
              <w:t> </w:t>
            </w:r>
            <w:r>
              <w:rPr/>
              <w:t>y</w:t>
            </w:r>
            <w:r>
              <w:rPr>
                <w:spacing w:val="-1"/>
              </w:rPr>
              <w:t> </w:t>
            </w:r>
            <w:r>
              <w:rPr/>
              <w:t>público</w:t>
              <w:tab/>
              <w:t>64</w:t>
            </w:r>
          </w:hyperlink>
        </w:p>
        <w:p>
          <w:pPr>
            <w:pStyle w:val="TOC8"/>
            <w:tabs>
              <w:tab w:pos="9309" w:val="left" w:leader="dot"/>
            </w:tabs>
            <w:spacing w:line="240" w:lineRule="auto"/>
          </w:pPr>
          <w:hyperlink w:history="true" w:anchor="_TOC_250044">
            <w:r>
              <w:rPr/>
              <w:t>Sector</w:t>
            </w:r>
            <w:r>
              <w:rPr>
                <w:spacing w:val="-5"/>
              </w:rPr>
              <w:t> </w:t>
            </w:r>
            <w:r>
              <w:rPr/>
              <w:t>industrial</w:t>
              <w:tab/>
              <w:t>64</w:t>
            </w:r>
          </w:hyperlink>
        </w:p>
        <w:p>
          <w:pPr>
            <w:pStyle w:val="TOC8"/>
            <w:tabs>
              <w:tab w:pos="9309" w:val="left" w:leader="dot"/>
            </w:tabs>
            <w:spacing w:line="240" w:lineRule="auto"/>
          </w:pPr>
          <w:hyperlink w:history="true" w:anchor="_TOC_250043">
            <w:r>
              <w:rPr/>
              <w:t>Sector</w:t>
            </w:r>
            <w:r>
              <w:rPr>
                <w:spacing w:val="-5"/>
              </w:rPr>
              <w:t> </w:t>
            </w:r>
            <w:r>
              <w:rPr/>
              <w:t>transporte</w:t>
              <w:tab/>
              <w:t>65</w:t>
            </w:r>
          </w:hyperlink>
        </w:p>
        <w:p>
          <w:pPr>
            <w:pStyle w:val="TOC4"/>
            <w:numPr>
              <w:ilvl w:val="1"/>
              <w:numId w:val="4"/>
            </w:numPr>
            <w:tabs>
              <w:tab w:pos="1205" w:val="left" w:leader="none"/>
            </w:tabs>
            <w:spacing w:line="289" w:lineRule="exact" w:before="0" w:after="0"/>
            <w:ind w:left="1204" w:right="0" w:hanging="505"/>
            <w:jc w:val="left"/>
          </w:pPr>
          <w:hyperlink w:history="true" w:anchor="_TOC_250042">
            <w:r>
              <w:rPr/>
              <w:t>PROYECCIONES DE AHORROS DE ENERGÍA Y DE REDUCCIÓN DE</w:t>
            </w:r>
            <w:r>
              <w:rPr>
                <w:spacing w:val="66"/>
              </w:rPr>
              <w:t> </w:t>
            </w:r>
            <w:r>
              <w:rPr/>
              <w:t>EMISIONES</w:t>
            </w:r>
          </w:hyperlink>
        </w:p>
        <w:p>
          <w:pPr>
            <w:pStyle w:val="TOC6"/>
            <w:spacing w:line="289" w:lineRule="exact"/>
            <w:ind w:left="724"/>
          </w:pPr>
          <w:r>
            <w:rPr/>
            <w:t>.......................................................................................................................</w:t>
          </w:r>
          <w:r>
            <w:rPr>
              <w:spacing w:val="-67"/>
            </w:rPr>
            <w:t> </w:t>
          </w:r>
          <w:r>
            <w:rPr/>
            <w:t>66</w:t>
          </w:r>
        </w:p>
        <w:p>
          <w:pPr>
            <w:pStyle w:val="TOC4"/>
            <w:numPr>
              <w:ilvl w:val="1"/>
              <w:numId w:val="4"/>
            </w:numPr>
            <w:tabs>
              <w:tab w:pos="1259" w:val="left" w:leader="none"/>
              <w:tab w:pos="1260" w:val="left" w:leader="none"/>
              <w:tab w:pos="9310" w:val="left" w:leader="dot"/>
            </w:tabs>
            <w:spacing w:line="240" w:lineRule="auto" w:before="1" w:after="0"/>
            <w:ind w:left="1259" w:right="0" w:hanging="560"/>
            <w:jc w:val="left"/>
          </w:pPr>
          <w:hyperlink w:history="true" w:anchor="_TOC_250041">
            <w:r>
              <w:rPr/>
              <w:t>LAS BARRERAS PARA EL USO RACIONAL</w:t>
            </w:r>
            <w:r>
              <w:rPr>
                <w:spacing w:val="-9"/>
              </w:rPr>
              <w:t> </w:t>
            </w:r>
            <w:r>
              <w:rPr/>
              <w:t>DE</w:t>
            </w:r>
            <w:r>
              <w:rPr>
                <w:spacing w:val="-3"/>
              </w:rPr>
              <w:t> </w:t>
            </w:r>
            <w:r>
              <w:rPr/>
              <w:t>ENERGÍA</w:t>
              <w:tab/>
              <w:t>69</w:t>
            </w:r>
          </w:hyperlink>
        </w:p>
        <w:p>
          <w:pPr>
            <w:pStyle w:val="TOC8"/>
            <w:tabs>
              <w:tab w:pos="9308" w:val="left" w:leader="dot"/>
            </w:tabs>
          </w:pPr>
          <w:hyperlink w:history="true" w:anchor="_TOC_250040">
            <w:r>
              <w:rPr/>
              <w:t>Barreras</w:t>
            </w:r>
            <w:r>
              <w:rPr>
                <w:spacing w:val="-4"/>
              </w:rPr>
              <w:t> </w:t>
            </w:r>
            <w:r>
              <w:rPr/>
              <w:t>institucionales</w:t>
              <w:tab/>
              <w:t>69</w:t>
            </w:r>
          </w:hyperlink>
        </w:p>
        <w:p>
          <w:pPr>
            <w:pStyle w:val="TOC8"/>
            <w:tabs>
              <w:tab w:pos="9309" w:val="left" w:leader="dot"/>
            </w:tabs>
            <w:spacing w:before="0"/>
          </w:pPr>
          <w:hyperlink w:history="true" w:anchor="_TOC_250039">
            <w:r>
              <w:rPr/>
              <w:t>Barreras</w:t>
            </w:r>
            <w:r>
              <w:rPr>
                <w:spacing w:val="-3"/>
              </w:rPr>
              <w:t> </w:t>
            </w:r>
            <w:r>
              <w:rPr/>
              <w:t>técnicas</w:t>
              <w:tab/>
              <w:t>69</w:t>
            </w:r>
          </w:hyperlink>
        </w:p>
        <w:p>
          <w:pPr>
            <w:pStyle w:val="TOC7"/>
            <w:tabs>
              <w:tab w:pos="9308" w:val="left" w:leader="dot"/>
            </w:tabs>
            <w:spacing w:line="240" w:lineRule="auto"/>
          </w:pPr>
          <w:hyperlink w:history="true" w:anchor="_TOC_250038">
            <w:r>
              <w:rPr/>
              <w:t>Barreras</w:t>
            </w:r>
            <w:r>
              <w:rPr>
                <w:spacing w:val="-3"/>
              </w:rPr>
              <w:t> </w:t>
            </w:r>
            <w:r>
              <w:rPr/>
              <w:t>económicas</w:t>
              <w:tab/>
              <w:t>70</w:t>
            </w:r>
          </w:hyperlink>
        </w:p>
        <w:p>
          <w:pPr>
            <w:pStyle w:val="TOC7"/>
            <w:tabs>
              <w:tab w:pos="9309" w:val="left" w:leader="dot"/>
            </w:tabs>
            <w:spacing w:before="1"/>
          </w:pPr>
          <w:hyperlink w:history="true" w:anchor="_TOC_250037">
            <w:r>
              <w:rPr/>
              <w:t>Barreras</w:t>
            </w:r>
            <w:r>
              <w:rPr>
                <w:spacing w:val="-2"/>
              </w:rPr>
              <w:t> </w:t>
            </w:r>
            <w:r>
              <w:rPr/>
              <w:t>sociales</w:t>
              <w:tab/>
              <w:t>70</w:t>
            </w:r>
          </w:hyperlink>
        </w:p>
        <w:p>
          <w:pPr>
            <w:pStyle w:val="TOC4"/>
            <w:numPr>
              <w:ilvl w:val="1"/>
              <w:numId w:val="4"/>
            </w:numPr>
            <w:tabs>
              <w:tab w:pos="1259" w:val="left" w:leader="none"/>
              <w:tab w:pos="1260" w:val="left" w:leader="none"/>
              <w:tab w:pos="9309" w:val="left" w:leader="dot"/>
            </w:tabs>
            <w:spacing w:line="289" w:lineRule="exact" w:before="0" w:after="0"/>
            <w:ind w:left="1259" w:right="0" w:hanging="561"/>
            <w:jc w:val="left"/>
          </w:pPr>
          <w:hyperlink w:history="true" w:anchor="_TOC_250036">
            <w:r>
              <w:rPr/>
              <w:t>INSTRUMENTOS DE POLÍTICA PARA IMPLANTAR LOS</w:t>
            </w:r>
            <w:r>
              <w:rPr>
                <w:spacing w:val="-14"/>
              </w:rPr>
              <w:t> </w:t>
            </w:r>
            <w:r>
              <w:rPr/>
              <w:t>PROGRAMAS</w:t>
            </w:r>
            <w:r>
              <w:rPr>
                <w:spacing w:val="70"/>
              </w:rPr>
              <w:t> </w:t>
            </w:r>
            <w:r>
              <w:rPr/>
              <w:t>URE</w:t>
              <w:tab/>
              <w:t>70</w:t>
            </w:r>
          </w:hyperlink>
        </w:p>
        <w:p>
          <w:pPr>
            <w:pStyle w:val="TOC4"/>
            <w:numPr>
              <w:ilvl w:val="1"/>
              <w:numId w:val="4"/>
            </w:numPr>
            <w:tabs>
              <w:tab w:pos="1259" w:val="left" w:leader="none"/>
              <w:tab w:pos="1260" w:val="left" w:leader="none"/>
              <w:tab w:pos="9308" w:val="left" w:leader="dot"/>
            </w:tabs>
            <w:spacing w:line="240" w:lineRule="auto" w:before="1" w:after="0"/>
            <w:ind w:left="1259" w:right="0" w:hanging="561"/>
            <w:jc w:val="left"/>
          </w:pPr>
          <w:hyperlink w:history="true" w:anchor="_TOC_250035">
            <w:r>
              <w:rPr/>
              <w:t>LÍNEAS</w:t>
            </w:r>
            <w:r>
              <w:rPr>
                <w:spacing w:val="-2"/>
              </w:rPr>
              <w:t> </w:t>
            </w:r>
            <w:r>
              <w:rPr/>
              <w:t>DE</w:t>
            </w:r>
            <w:r>
              <w:rPr>
                <w:spacing w:val="-2"/>
              </w:rPr>
              <w:t> </w:t>
            </w:r>
            <w:r>
              <w:rPr/>
              <w:t>ACCIÓN</w:t>
              <w:tab/>
              <w:t>72</w:t>
            </w:r>
          </w:hyperlink>
        </w:p>
        <w:p>
          <w:pPr>
            <w:pStyle w:val="TOC4"/>
            <w:numPr>
              <w:ilvl w:val="1"/>
              <w:numId w:val="4"/>
            </w:numPr>
            <w:tabs>
              <w:tab w:pos="1259" w:val="left" w:leader="none"/>
              <w:tab w:pos="1260" w:val="left" w:leader="none"/>
              <w:tab w:pos="9309" w:val="left" w:leader="dot"/>
            </w:tabs>
            <w:spacing w:line="240" w:lineRule="auto" w:before="1" w:after="0"/>
            <w:ind w:left="1259" w:right="0" w:hanging="561"/>
            <w:jc w:val="left"/>
          </w:pPr>
          <w:hyperlink w:history="true" w:anchor="_TOC_250034">
            <w:r>
              <w:rPr/>
              <w:t>PROGRAMA DE NORMALIZACIÓN PARA LA</w:t>
            </w:r>
            <w:r>
              <w:rPr>
                <w:spacing w:val="-16"/>
              </w:rPr>
              <w:t> </w:t>
            </w:r>
            <w:r>
              <w:rPr/>
              <w:t>EFICIENCIA</w:t>
            </w:r>
            <w:r>
              <w:rPr>
                <w:spacing w:val="-3"/>
              </w:rPr>
              <w:t> </w:t>
            </w:r>
            <w:r>
              <w:rPr/>
              <w:t>ENERGÉTICA</w:t>
              <w:tab/>
              <w:t>75</w:t>
            </w:r>
          </w:hyperlink>
        </w:p>
        <w:p>
          <w:pPr>
            <w:pStyle w:val="TOC4"/>
            <w:numPr>
              <w:ilvl w:val="1"/>
              <w:numId w:val="4"/>
            </w:numPr>
            <w:tabs>
              <w:tab w:pos="1259" w:val="left" w:leader="none"/>
              <w:tab w:pos="1260" w:val="left" w:leader="none"/>
              <w:tab w:pos="9308" w:val="left" w:leader="dot"/>
            </w:tabs>
            <w:spacing w:line="289" w:lineRule="exact" w:before="0" w:after="0"/>
            <w:ind w:left="1259" w:right="0" w:hanging="561"/>
            <w:jc w:val="left"/>
          </w:pPr>
          <w:hyperlink w:history="true" w:anchor="_TOC_250033">
            <w:r>
              <w:rPr/>
              <w:t>ALTERNATIVAS DE ACCIONES PARA EL URE EN EL</w:t>
            </w:r>
            <w:r>
              <w:rPr>
                <w:spacing w:val="-16"/>
              </w:rPr>
              <w:t> </w:t>
            </w:r>
            <w:r>
              <w:rPr/>
              <w:t>SECTOR</w:t>
            </w:r>
            <w:r>
              <w:rPr>
                <w:spacing w:val="-3"/>
              </w:rPr>
              <w:t> </w:t>
            </w:r>
            <w:r>
              <w:rPr/>
              <w:t>TRANSPORTE</w:t>
              <w:tab/>
              <w:t>76</w:t>
            </w:r>
          </w:hyperlink>
        </w:p>
        <w:p>
          <w:pPr>
            <w:pStyle w:val="TOC7"/>
            <w:tabs>
              <w:tab w:pos="9311" w:val="left" w:leader="dot"/>
            </w:tabs>
          </w:pPr>
          <w:hyperlink w:history="true" w:anchor="_TOC_250032">
            <w:r>
              <w:rPr/>
              <w:t>Instrumentos económicos para</w:t>
            </w:r>
            <w:r>
              <w:rPr>
                <w:spacing w:val="-11"/>
              </w:rPr>
              <w:t> </w:t>
            </w:r>
            <w:r>
              <w:rPr/>
              <w:t>el</w:t>
            </w:r>
            <w:r>
              <w:rPr>
                <w:spacing w:val="-2"/>
              </w:rPr>
              <w:t> </w:t>
            </w:r>
            <w:r>
              <w:rPr/>
              <w:t>fomento</w:t>
              <w:tab/>
              <w:t>76</w:t>
            </w:r>
          </w:hyperlink>
        </w:p>
        <w:p>
          <w:pPr>
            <w:pStyle w:val="TOC7"/>
            <w:tabs>
              <w:tab w:pos="9308" w:val="left" w:leader="dot"/>
            </w:tabs>
            <w:spacing w:line="240" w:lineRule="auto" w:before="1"/>
          </w:pPr>
          <w:hyperlink w:history="true" w:anchor="_TOC_250031">
            <w:r>
              <w:rPr/>
              <w:t>Instrumentos</w:t>
            </w:r>
            <w:r>
              <w:rPr>
                <w:spacing w:val="-4"/>
              </w:rPr>
              <w:t> </w:t>
            </w:r>
            <w:r>
              <w:rPr/>
              <w:t>regulatorios</w:t>
              <w:tab/>
              <w:t>77</w:t>
            </w:r>
          </w:hyperlink>
        </w:p>
        <w:p>
          <w:pPr>
            <w:pStyle w:val="TOC7"/>
            <w:tabs>
              <w:tab w:pos="9309" w:val="left" w:leader="dot"/>
            </w:tabs>
            <w:spacing w:line="240" w:lineRule="auto" w:before="1" w:after="20"/>
          </w:pPr>
          <w:hyperlink w:history="true" w:anchor="_TOC_250030">
            <w:r>
              <w:rPr/>
              <w:t>Otras</w:t>
            </w:r>
            <w:r>
              <w:rPr>
                <w:spacing w:val="-3"/>
              </w:rPr>
              <w:t> </w:t>
            </w:r>
            <w:r>
              <w:rPr/>
              <w:t>medidas</w:t>
              <w:tab/>
              <w:t>78</w:t>
            </w:r>
          </w:hyperlink>
        </w:p>
        <w:p>
          <w:pPr>
            <w:pStyle w:val="TOC2"/>
            <w:tabs>
              <w:tab w:pos="9311" w:val="left" w:leader="dot"/>
            </w:tabs>
            <w:spacing w:line="240" w:lineRule="auto" w:before="112"/>
            <w:ind w:left="459" w:firstLine="0"/>
          </w:pPr>
          <w:hyperlink w:history="true" w:anchor="_TOC_250029">
            <w:r>
              <w:rPr/>
              <w:t>PROTECCIÓN AL</w:t>
            </w:r>
            <w:r>
              <w:rPr>
                <w:spacing w:val="-5"/>
              </w:rPr>
              <w:t> </w:t>
            </w:r>
            <w:r>
              <w:rPr/>
              <w:t>MEDIO</w:t>
            </w:r>
            <w:r>
              <w:rPr>
                <w:spacing w:val="-2"/>
              </w:rPr>
              <w:t> </w:t>
            </w:r>
            <w:r>
              <w:rPr/>
              <w:t>AMBIENTE</w:t>
              <w:tab/>
              <w:t>79</w:t>
            </w:r>
          </w:hyperlink>
        </w:p>
        <w:p>
          <w:pPr>
            <w:pStyle w:val="TOC4"/>
            <w:numPr>
              <w:ilvl w:val="1"/>
              <w:numId w:val="5"/>
            </w:numPr>
            <w:tabs>
              <w:tab w:pos="1259" w:val="left" w:leader="none"/>
              <w:tab w:pos="1260" w:val="left" w:leader="none"/>
              <w:tab w:pos="9309" w:val="left" w:leader="dot"/>
            </w:tabs>
            <w:spacing w:line="240" w:lineRule="auto" w:before="1" w:after="0"/>
            <w:ind w:left="1259" w:right="0" w:hanging="561"/>
            <w:jc w:val="left"/>
          </w:pPr>
          <w:hyperlink w:history="true" w:anchor="_TOC_250028">
            <w:r>
              <w:rPr/>
              <w:t>INCORPORACIÓN DEL COMPONENTE AMBIENTAL EN</w:t>
            </w:r>
            <w:r>
              <w:rPr>
                <w:spacing w:val="-11"/>
              </w:rPr>
              <w:t> </w:t>
            </w:r>
            <w:r>
              <w:rPr/>
              <w:t>EL</w:t>
            </w:r>
            <w:r>
              <w:rPr>
                <w:spacing w:val="-2"/>
              </w:rPr>
              <w:t> </w:t>
            </w:r>
            <w:r>
              <w:rPr/>
              <w:t>PEN</w:t>
              <w:tab/>
              <w:t>79</w:t>
            </w:r>
          </w:hyperlink>
        </w:p>
        <w:p>
          <w:pPr>
            <w:pStyle w:val="TOC7"/>
            <w:tabs>
              <w:tab w:pos="9309" w:val="left" w:leader="dot"/>
            </w:tabs>
            <w:spacing w:line="240" w:lineRule="auto" w:before="1"/>
          </w:pPr>
          <w:hyperlink w:history="true" w:anchor="_TOC_250027">
            <w:r>
              <w:rPr/>
              <w:t>Insularidad</w:t>
              <w:tab/>
              <w:t>80</w:t>
            </w:r>
          </w:hyperlink>
        </w:p>
        <w:p>
          <w:pPr>
            <w:pStyle w:val="TOC7"/>
            <w:tabs>
              <w:tab w:pos="9311" w:val="left" w:leader="dot"/>
            </w:tabs>
            <w:spacing w:before="1"/>
          </w:pPr>
          <w:hyperlink w:history="true" w:anchor="_TOC_250026">
            <w:r>
              <w:rPr/>
              <w:t>Vulnerabilidad a los</w:t>
            </w:r>
            <w:r>
              <w:rPr>
                <w:spacing w:val="-9"/>
              </w:rPr>
              <w:t> </w:t>
            </w:r>
            <w:r>
              <w:rPr/>
              <w:t>riesgos</w:t>
            </w:r>
            <w:r>
              <w:rPr>
                <w:spacing w:val="-2"/>
              </w:rPr>
              <w:t> </w:t>
            </w:r>
            <w:r>
              <w:rPr/>
              <w:t>naturales</w:t>
              <w:tab/>
              <w:t>80</w:t>
            </w:r>
          </w:hyperlink>
        </w:p>
        <w:p>
          <w:pPr>
            <w:pStyle w:val="TOC7"/>
            <w:tabs>
              <w:tab w:pos="9308" w:val="left" w:leader="dot"/>
            </w:tabs>
          </w:pPr>
          <w:hyperlink w:history="true" w:anchor="_TOC_250025">
            <w:r>
              <w:rPr/>
              <w:t>Vulnerabilidad</w:t>
            </w:r>
            <w:r>
              <w:rPr>
                <w:spacing w:val="-4"/>
              </w:rPr>
              <w:t> </w:t>
            </w:r>
            <w:r>
              <w:rPr/>
              <w:t>del</w:t>
            </w:r>
            <w:r>
              <w:rPr>
                <w:spacing w:val="-2"/>
              </w:rPr>
              <w:t> </w:t>
            </w:r>
            <w:r>
              <w:rPr/>
              <w:t>ecosistema</w:t>
              <w:tab/>
              <w:t>80</w:t>
            </w:r>
          </w:hyperlink>
        </w:p>
        <w:p>
          <w:pPr>
            <w:pStyle w:val="TOC7"/>
            <w:tabs>
              <w:tab w:pos="9308" w:val="left" w:leader="dot"/>
            </w:tabs>
            <w:spacing w:line="240" w:lineRule="auto"/>
          </w:pPr>
          <w:hyperlink w:history="true" w:anchor="_TOC_250024">
            <w:r>
              <w:rPr/>
              <w:t>Gran riqueza natural</w:t>
            </w:r>
            <w:r>
              <w:rPr>
                <w:spacing w:val="-7"/>
              </w:rPr>
              <w:t> </w:t>
            </w:r>
            <w:r>
              <w:rPr/>
              <w:t>del</w:t>
            </w:r>
            <w:r>
              <w:rPr>
                <w:spacing w:val="-1"/>
              </w:rPr>
              <w:t> </w:t>
            </w:r>
            <w:r>
              <w:rPr/>
              <w:t>país</w:t>
              <w:tab/>
              <w:t>81</w:t>
            </w:r>
          </w:hyperlink>
        </w:p>
        <w:p>
          <w:pPr>
            <w:pStyle w:val="TOC7"/>
            <w:tabs>
              <w:tab w:pos="9308" w:val="left" w:leader="dot"/>
            </w:tabs>
            <w:spacing w:before="1"/>
          </w:pPr>
          <w:hyperlink w:history="true" w:anchor="_TOC_250023">
            <w:r>
              <w:rPr/>
              <w:t>Las fuentes</w:t>
            </w:r>
            <w:r>
              <w:rPr>
                <w:spacing w:val="-3"/>
              </w:rPr>
              <w:t> </w:t>
            </w:r>
            <w:r>
              <w:rPr/>
              <w:t>de</w:t>
            </w:r>
            <w:r>
              <w:rPr>
                <w:spacing w:val="-2"/>
              </w:rPr>
              <w:t> </w:t>
            </w:r>
            <w:r>
              <w:rPr/>
              <w:t>energía</w:t>
              <w:tab/>
              <w:t>81</w:t>
            </w:r>
          </w:hyperlink>
        </w:p>
        <w:p>
          <w:pPr>
            <w:pStyle w:val="TOC7"/>
            <w:tabs>
              <w:tab w:pos="9308" w:val="left" w:leader="dot"/>
            </w:tabs>
          </w:pPr>
          <w:hyperlink w:history="true" w:anchor="_TOC_250022">
            <w:r>
              <w:rPr/>
              <w:t>Producción</w:t>
            </w:r>
            <w:r>
              <w:rPr>
                <w:spacing w:val="-5"/>
              </w:rPr>
              <w:t> </w:t>
            </w:r>
            <w:r>
              <w:rPr/>
              <w:t>hidroeléctrica</w:t>
              <w:tab/>
              <w:t>81</w:t>
            </w:r>
          </w:hyperlink>
        </w:p>
        <w:p>
          <w:pPr>
            <w:pStyle w:val="TOC7"/>
            <w:tabs>
              <w:tab w:pos="9311" w:val="left" w:leader="dot"/>
            </w:tabs>
            <w:spacing w:line="240" w:lineRule="auto" w:before="1"/>
          </w:pPr>
          <w:hyperlink w:history="true" w:anchor="_TOC_250021">
            <w:r>
              <w:rPr/>
              <w:t>Producción de</w:t>
            </w:r>
            <w:r>
              <w:rPr>
                <w:spacing w:val="-6"/>
              </w:rPr>
              <w:t> </w:t>
            </w:r>
            <w:r>
              <w:rPr/>
              <w:t>Energía Eólica</w:t>
              <w:tab/>
              <w:t>82</w:t>
            </w:r>
          </w:hyperlink>
        </w:p>
        <w:p>
          <w:pPr>
            <w:pStyle w:val="TOC7"/>
            <w:tabs>
              <w:tab w:pos="9311" w:val="left" w:leader="dot"/>
            </w:tabs>
          </w:pPr>
          <w:hyperlink w:history="true" w:anchor="_TOC_250020">
            <w:r>
              <w:rPr/>
              <w:t>Producción de</w:t>
            </w:r>
            <w:r>
              <w:rPr>
                <w:spacing w:val="-6"/>
              </w:rPr>
              <w:t> </w:t>
            </w:r>
            <w:r>
              <w:rPr/>
              <w:t>Energía Térmica</w:t>
              <w:tab/>
              <w:t>82</w:t>
            </w:r>
          </w:hyperlink>
        </w:p>
        <w:p>
          <w:pPr>
            <w:pStyle w:val="TOC7"/>
            <w:tabs>
              <w:tab w:pos="9311" w:val="left" w:leader="dot"/>
            </w:tabs>
          </w:pPr>
          <w:hyperlink w:history="true" w:anchor="_TOC_250019">
            <w:r>
              <w:rPr/>
              <w:t>Consumo por el</w:t>
            </w:r>
            <w:r>
              <w:rPr>
                <w:spacing w:val="-10"/>
              </w:rPr>
              <w:t> </w:t>
            </w:r>
            <w:r>
              <w:rPr/>
              <w:t>sector transporte</w:t>
              <w:tab/>
              <w:t>83</w:t>
            </w:r>
          </w:hyperlink>
        </w:p>
        <w:p>
          <w:pPr>
            <w:pStyle w:val="TOC7"/>
            <w:tabs>
              <w:tab w:pos="9311" w:val="left" w:leader="dot"/>
            </w:tabs>
            <w:spacing w:line="240" w:lineRule="auto" w:before="1"/>
          </w:pPr>
          <w:hyperlink w:history="true" w:anchor="_TOC_250018">
            <w:r>
              <w:rPr/>
              <w:t>Consumo por el</w:t>
            </w:r>
            <w:r>
              <w:rPr>
                <w:spacing w:val="-7"/>
              </w:rPr>
              <w:t> </w:t>
            </w:r>
            <w:r>
              <w:rPr/>
              <w:t>sector residencial</w:t>
              <w:tab/>
              <w:t>83</w:t>
            </w:r>
          </w:hyperlink>
        </w:p>
        <w:p>
          <w:pPr>
            <w:pStyle w:val="TOC7"/>
            <w:tabs>
              <w:tab w:pos="9311" w:val="left" w:leader="dot"/>
            </w:tabs>
            <w:spacing w:line="240" w:lineRule="auto" w:before="1"/>
          </w:pPr>
          <w:hyperlink w:history="true" w:anchor="_TOC_250017">
            <w:r>
              <w:rPr/>
              <w:t>Consumo por el</w:t>
            </w:r>
            <w:r>
              <w:rPr>
                <w:spacing w:val="-8"/>
              </w:rPr>
              <w:t> </w:t>
            </w:r>
            <w:r>
              <w:rPr/>
              <w:t>sector Comercial</w:t>
              <w:tab/>
              <w:t>83</w:t>
            </w:r>
          </w:hyperlink>
        </w:p>
        <w:p>
          <w:pPr>
            <w:pStyle w:val="TOC7"/>
            <w:tabs>
              <w:tab w:pos="9309" w:val="left" w:leader="dot"/>
            </w:tabs>
            <w:spacing w:before="1"/>
          </w:pPr>
          <w:hyperlink w:history="true" w:anchor="_TOC_250016">
            <w:r>
              <w:rPr/>
              <w:t>Resumen</w:t>
              <w:tab/>
              <w:t>84</w:t>
            </w:r>
          </w:hyperlink>
        </w:p>
        <w:p>
          <w:pPr>
            <w:pStyle w:val="TOC2"/>
            <w:numPr>
              <w:ilvl w:val="1"/>
              <w:numId w:val="5"/>
            </w:numPr>
            <w:tabs>
              <w:tab w:pos="1019" w:val="left" w:leader="none"/>
              <w:tab w:pos="1020" w:val="left" w:leader="none"/>
              <w:tab w:pos="9309" w:val="left" w:leader="dot"/>
            </w:tabs>
            <w:spacing w:line="289" w:lineRule="exact" w:before="0" w:after="0"/>
            <w:ind w:left="1019" w:right="0" w:hanging="561"/>
            <w:jc w:val="left"/>
          </w:pPr>
          <w:hyperlink w:history="true" w:anchor="_TOC_250015">
            <w:r>
              <w:rPr/>
              <w:t>EL MODELO DE ANÁLISIS SISTEMA ENERGÍA</w:t>
            </w:r>
            <w:r>
              <w:rPr>
                <w:spacing w:val="-14"/>
              </w:rPr>
              <w:t> </w:t>
            </w:r>
            <w:r>
              <w:rPr/>
              <w:t>MEDIO</w:t>
            </w:r>
            <w:r>
              <w:rPr>
                <w:spacing w:val="-2"/>
              </w:rPr>
              <w:t> </w:t>
            </w:r>
            <w:r>
              <w:rPr/>
              <w:t>AMBIENTE</w:t>
              <w:tab/>
              <w:t>84</w:t>
            </w:r>
          </w:hyperlink>
        </w:p>
        <w:p>
          <w:pPr>
            <w:pStyle w:val="TOC7"/>
            <w:tabs>
              <w:tab w:pos="9308" w:val="left" w:leader="dot"/>
            </w:tabs>
            <w:spacing w:line="240" w:lineRule="auto"/>
          </w:pPr>
          <w:hyperlink w:history="true" w:anchor="_TOC_250014">
            <w:r>
              <w:rPr/>
              <w:t>Los</w:t>
            </w:r>
            <w:r>
              <w:rPr>
                <w:spacing w:val="-3"/>
              </w:rPr>
              <w:t> </w:t>
            </w:r>
            <w:r>
              <w:rPr/>
              <w:t>efectos</w:t>
            </w:r>
            <w:r>
              <w:rPr>
                <w:spacing w:val="-3"/>
              </w:rPr>
              <w:t> </w:t>
            </w:r>
            <w:r>
              <w:rPr/>
              <w:t>ambientales</w:t>
              <w:tab/>
              <w:t>85</w:t>
            </w:r>
          </w:hyperlink>
        </w:p>
        <w:p>
          <w:pPr>
            <w:pStyle w:val="TOC7"/>
            <w:tabs>
              <w:tab w:pos="9308" w:val="left" w:leader="dot"/>
            </w:tabs>
            <w:spacing w:before="1"/>
          </w:pPr>
          <w:hyperlink w:history="true" w:anchor="_TOC_250013">
            <w:r>
              <w:rPr/>
              <w:t>Las</w:t>
            </w:r>
            <w:r>
              <w:rPr>
                <w:spacing w:val="-3"/>
              </w:rPr>
              <w:t> </w:t>
            </w:r>
            <w:r>
              <w:rPr/>
              <w:t>Fuerzas</w:t>
            </w:r>
            <w:r>
              <w:rPr>
                <w:spacing w:val="-2"/>
              </w:rPr>
              <w:t> </w:t>
            </w:r>
            <w:r>
              <w:rPr/>
              <w:t>Motrices</w:t>
              <w:tab/>
              <w:t>86</w:t>
            </w:r>
          </w:hyperlink>
        </w:p>
        <w:p>
          <w:pPr>
            <w:pStyle w:val="TOC7"/>
            <w:tabs>
              <w:tab w:pos="9310" w:val="left" w:leader="dot"/>
            </w:tabs>
          </w:pPr>
          <w:hyperlink w:history="true" w:anchor="_TOC_250012">
            <w:r>
              <w:rPr/>
              <w:t>Capacidad de influencia de los instrumentos de</w:t>
            </w:r>
            <w:r>
              <w:rPr>
                <w:spacing w:val="-24"/>
              </w:rPr>
              <w:t> </w:t>
            </w:r>
            <w:r>
              <w:rPr/>
              <w:t>la</w:t>
            </w:r>
            <w:r>
              <w:rPr>
                <w:spacing w:val="-5"/>
              </w:rPr>
              <w:t> </w:t>
            </w:r>
            <w:r>
              <w:rPr/>
              <w:t>planificación</w:t>
              <w:tab/>
              <w:t>89</w:t>
            </w:r>
          </w:hyperlink>
        </w:p>
        <w:p>
          <w:pPr>
            <w:pStyle w:val="TOC7"/>
            <w:tabs>
              <w:tab w:pos="9308" w:val="left" w:leader="dot"/>
            </w:tabs>
            <w:spacing w:line="240" w:lineRule="auto" w:before="1"/>
          </w:pPr>
          <w:hyperlink w:history="true" w:anchor="_TOC_250011">
            <w:r>
              <w:rPr/>
              <w:t>Recomendaciones</w:t>
              <w:tab/>
              <w:t>93</w:t>
            </w:r>
          </w:hyperlink>
        </w:p>
        <w:p>
          <w:pPr>
            <w:pStyle w:val="TOC2"/>
            <w:numPr>
              <w:ilvl w:val="1"/>
              <w:numId w:val="5"/>
            </w:numPr>
            <w:tabs>
              <w:tab w:pos="1019" w:val="left" w:leader="none"/>
              <w:tab w:pos="1020" w:val="left" w:leader="none"/>
              <w:tab w:pos="9311" w:val="left" w:leader="dot"/>
            </w:tabs>
            <w:spacing w:line="240" w:lineRule="auto" w:before="0" w:after="0"/>
            <w:ind w:left="1019" w:right="0" w:hanging="561"/>
            <w:jc w:val="left"/>
          </w:pPr>
          <w:hyperlink w:history="true" w:anchor="_TOC_250010">
            <w:r>
              <w:rPr/>
              <w:t>OBJETIVOS AMBIENTALES</w:t>
            </w:r>
            <w:r>
              <w:rPr>
                <w:spacing w:val="-4"/>
              </w:rPr>
              <w:t> </w:t>
            </w:r>
            <w:r>
              <w:rPr/>
              <w:t>DEL</w:t>
            </w:r>
            <w:r>
              <w:rPr>
                <w:spacing w:val="-2"/>
              </w:rPr>
              <w:t> </w:t>
            </w:r>
            <w:r>
              <w:rPr/>
              <w:t>PEN</w:t>
              <w:tab/>
              <w:t>93</w:t>
            </w:r>
          </w:hyperlink>
        </w:p>
        <w:p>
          <w:pPr>
            <w:pStyle w:val="TOC2"/>
            <w:numPr>
              <w:ilvl w:val="1"/>
              <w:numId w:val="5"/>
            </w:numPr>
            <w:tabs>
              <w:tab w:pos="1019" w:val="left" w:leader="none"/>
              <w:tab w:pos="1020" w:val="left" w:leader="none"/>
              <w:tab w:pos="9308" w:val="left" w:leader="dot"/>
            </w:tabs>
            <w:spacing w:line="289" w:lineRule="exact" w:before="1" w:after="0"/>
            <w:ind w:left="1019" w:right="0" w:hanging="561"/>
            <w:jc w:val="left"/>
          </w:pPr>
          <w:hyperlink w:history="true" w:anchor="_TOC_250009">
            <w:r>
              <w:rPr/>
              <w:t>RECOMENDACIONES PARA REDUCIR LOS EFECTOS AMBIENTALES</w:t>
            </w:r>
            <w:r>
              <w:rPr>
                <w:spacing w:val="-16"/>
              </w:rPr>
              <w:t> </w:t>
            </w:r>
            <w:r>
              <w:rPr/>
              <w:t>DEL</w:t>
            </w:r>
            <w:r>
              <w:rPr>
                <w:spacing w:val="-2"/>
              </w:rPr>
              <w:t> </w:t>
            </w:r>
            <w:r>
              <w:rPr/>
              <w:t>PEN</w:t>
              <w:tab/>
              <w:t>97</w:t>
            </w:r>
          </w:hyperlink>
        </w:p>
        <w:p>
          <w:pPr>
            <w:pStyle w:val="TOC4"/>
            <w:numPr>
              <w:ilvl w:val="2"/>
              <w:numId w:val="5"/>
            </w:numPr>
            <w:tabs>
              <w:tab w:pos="1463" w:val="left" w:leader="none"/>
              <w:tab w:pos="1464" w:val="left" w:leader="none"/>
              <w:tab w:pos="9308" w:val="left" w:leader="dot"/>
            </w:tabs>
            <w:spacing w:line="289" w:lineRule="exact" w:before="0" w:after="0"/>
            <w:ind w:left="1463" w:right="0" w:hanging="765"/>
            <w:jc w:val="left"/>
          </w:pPr>
          <w:hyperlink w:history="true" w:anchor="_TOC_250008">
            <w:r>
              <w:rPr/>
              <w:t>Recomendaciones</w:t>
            </w:r>
            <w:r>
              <w:rPr>
                <w:spacing w:val="-3"/>
              </w:rPr>
              <w:t> </w:t>
            </w:r>
            <w:r>
              <w:rPr/>
              <w:t>generales</w:t>
              <w:tab/>
              <w:t>97</w:t>
            </w:r>
          </w:hyperlink>
        </w:p>
        <w:p>
          <w:pPr>
            <w:pStyle w:val="TOC4"/>
            <w:numPr>
              <w:ilvl w:val="2"/>
              <w:numId w:val="5"/>
            </w:numPr>
            <w:tabs>
              <w:tab w:pos="1390" w:val="left" w:leader="none"/>
              <w:tab w:pos="9176" w:val="left" w:leader="dot"/>
            </w:tabs>
            <w:spacing w:line="240" w:lineRule="auto" w:before="1" w:after="0"/>
            <w:ind w:left="939" w:right="226" w:hanging="240"/>
            <w:jc w:val="left"/>
          </w:pPr>
          <w:r>
            <w:rPr/>
            <w:t>Recomendaciones</w:t>
          </w:r>
          <w:r>
            <w:rPr>
              <w:spacing w:val="-4"/>
            </w:rPr>
            <w:t> </w:t>
          </w:r>
          <w:r>
            <w:rPr/>
            <w:t>ambientales</w:t>
          </w:r>
          <w:r>
            <w:rPr>
              <w:spacing w:val="-3"/>
            </w:rPr>
            <w:t> </w:t>
          </w:r>
          <w:r>
            <w:rPr/>
            <w:t>sobre</w:t>
          </w:r>
          <w:r>
            <w:rPr>
              <w:spacing w:val="-3"/>
            </w:rPr>
            <w:t> </w:t>
          </w:r>
          <w:r>
            <w:rPr/>
            <w:t>los</w:t>
          </w:r>
          <w:r>
            <w:rPr>
              <w:spacing w:val="-3"/>
            </w:rPr>
            <w:t> </w:t>
          </w:r>
          <w:r>
            <w:rPr/>
            <w:t>sectores</w:t>
          </w:r>
          <w:r>
            <w:rPr>
              <w:spacing w:val="-3"/>
            </w:rPr>
            <w:t> </w:t>
          </w:r>
          <w:r>
            <w:rPr/>
            <w:t>de</w:t>
          </w:r>
          <w:r>
            <w:rPr>
              <w:spacing w:val="-3"/>
            </w:rPr>
            <w:t> </w:t>
          </w:r>
          <w:r>
            <w:rPr/>
            <w:t>consumo</w:t>
          </w:r>
          <w:r>
            <w:rPr>
              <w:spacing w:val="-4"/>
            </w:rPr>
            <w:t> </w:t>
          </w:r>
          <w:r>
            <w:rPr/>
            <w:t>energético</w:t>
          </w:r>
          <w:r>
            <w:rPr>
              <w:spacing w:val="-48"/>
            </w:rPr>
            <w:t> </w:t>
          </w:r>
          <w:r>
            <w:rPr/>
            <w:t>100 Sector</w:t>
          </w:r>
          <w:r>
            <w:rPr>
              <w:spacing w:val="-4"/>
            </w:rPr>
            <w:t> </w:t>
          </w:r>
          <w:r>
            <w:rPr/>
            <w:t>Transporte</w:t>
            <w:tab/>
          </w:r>
          <w:r>
            <w:rPr>
              <w:spacing w:val="-6"/>
            </w:rPr>
            <w:t>100</w:t>
          </w:r>
        </w:p>
        <w:p>
          <w:pPr>
            <w:pStyle w:val="TOC7"/>
            <w:tabs>
              <w:tab w:pos="9179" w:val="left" w:leader="dot"/>
            </w:tabs>
          </w:pPr>
          <w:hyperlink w:history="true" w:anchor="_TOC_250007">
            <w:r>
              <w:rPr/>
              <w:t>Consumo Energético residencial y en</w:t>
            </w:r>
            <w:r>
              <w:rPr>
                <w:spacing w:val="-9"/>
              </w:rPr>
              <w:t> </w:t>
            </w:r>
            <w:r>
              <w:rPr/>
              <w:t>el</w:t>
            </w:r>
            <w:r>
              <w:rPr>
                <w:spacing w:val="-2"/>
              </w:rPr>
              <w:t> </w:t>
            </w:r>
            <w:r>
              <w:rPr/>
              <w:t>comercio</w:t>
              <w:tab/>
              <w:t>100</w:t>
            </w:r>
          </w:hyperlink>
        </w:p>
        <w:p>
          <w:pPr>
            <w:pStyle w:val="TOC7"/>
            <w:tabs>
              <w:tab w:pos="9176" w:val="left" w:leader="dot"/>
            </w:tabs>
            <w:spacing w:line="240" w:lineRule="auto"/>
          </w:pPr>
          <w:hyperlink w:history="true" w:anchor="_TOC_250006">
            <w:r>
              <w:rPr/>
              <w:t>Sector</w:t>
            </w:r>
            <w:r>
              <w:rPr>
                <w:spacing w:val="-5"/>
              </w:rPr>
              <w:t> </w:t>
            </w:r>
            <w:r>
              <w:rPr/>
              <w:t>Industrial</w:t>
              <w:tab/>
              <w:t>100</w:t>
            </w:r>
          </w:hyperlink>
        </w:p>
        <w:p>
          <w:pPr>
            <w:pStyle w:val="TOC4"/>
            <w:numPr>
              <w:ilvl w:val="2"/>
              <w:numId w:val="5"/>
            </w:numPr>
            <w:tabs>
              <w:tab w:pos="1390" w:val="left" w:leader="none"/>
              <w:tab w:pos="9177" w:val="left" w:leader="dot"/>
            </w:tabs>
            <w:spacing w:line="289" w:lineRule="exact" w:before="1" w:after="0"/>
            <w:ind w:left="1389" w:right="0" w:hanging="691"/>
            <w:jc w:val="left"/>
          </w:pPr>
          <w:hyperlink w:history="true" w:anchor="_TOC_250005">
            <w:r>
              <w:rPr/>
              <w:t>Recomendaciones sobre los modos de</w:t>
            </w:r>
            <w:r>
              <w:rPr>
                <w:spacing w:val="-13"/>
              </w:rPr>
              <w:t> </w:t>
            </w:r>
            <w:r>
              <w:rPr/>
              <w:t>generación</w:t>
            </w:r>
            <w:r>
              <w:rPr>
                <w:spacing w:val="-3"/>
              </w:rPr>
              <w:t> </w:t>
            </w:r>
            <w:r>
              <w:rPr/>
              <w:t>eléctrica</w:t>
              <w:tab/>
              <w:t>100</w:t>
            </w:r>
          </w:hyperlink>
        </w:p>
        <w:p>
          <w:pPr>
            <w:pStyle w:val="TOC7"/>
            <w:tabs>
              <w:tab w:pos="9179" w:val="left" w:leader="dot"/>
            </w:tabs>
          </w:pPr>
          <w:hyperlink w:history="true" w:anchor="_TOC_250004">
            <w:r>
              <w:rPr/>
              <w:t>Plantas de</w:t>
            </w:r>
            <w:r>
              <w:rPr>
                <w:spacing w:val="-4"/>
              </w:rPr>
              <w:t> </w:t>
            </w:r>
            <w:r>
              <w:rPr/>
              <w:t>generación</w:t>
            </w:r>
            <w:r>
              <w:rPr>
                <w:spacing w:val="-3"/>
              </w:rPr>
              <w:t> </w:t>
            </w:r>
            <w:r>
              <w:rPr/>
              <w:t>eléctrica</w:t>
              <w:tab/>
              <w:t>100</w:t>
            </w:r>
          </w:hyperlink>
        </w:p>
        <w:p>
          <w:pPr>
            <w:pStyle w:val="TOC7"/>
            <w:tabs>
              <w:tab w:pos="9176" w:val="left" w:leader="dot"/>
            </w:tabs>
            <w:spacing w:line="240" w:lineRule="auto" w:before="1"/>
          </w:pPr>
          <w:hyperlink w:history="true" w:anchor="_TOC_250003">
            <w:r>
              <w:rPr/>
              <w:t>Plantas</w:t>
            </w:r>
            <w:r>
              <w:rPr>
                <w:spacing w:val="-3"/>
              </w:rPr>
              <w:t> </w:t>
            </w:r>
            <w:r>
              <w:rPr/>
              <w:t>de</w:t>
            </w:r>
            <w:r>
              <w:rPr>
                <w:spacing w:val="-3"/>
              </w:rPr>
              <w:t> </w:t>
            </w:r>
            <w:r>
              <w:rPr/>
              <w:t>Carbón</w:t>
              <w:tab/>
              <w:t>101</w:t>
            </w:r>
          </w:hyperlink>
        </w:p>
        <w:p>
          <w:pPr>
            <w:pStyle w:val="TOC7"/>
            <w:tabs>
              <w:tab w:pos="9176" w:val="left" w:leader="dot"/>
            </w:tabs>
            <w:spacing w:line="240" w:lineRule="auto" w:before="1"/>
          </w:pPr>
          <w:hyperlink w:history="true" w:anchor="_TOC_250002">
            <w:r>
              <w:rPr/>
              <w:t>Generación por</w:t>
            </w:r>
            <w:r>
              <w:rPr>
                <w:spacing w:val="-6"/>
              </w:rPr>
              <w:t> </w:t>
            </w:r>
            <w:r>
              <w:rPr/>
              <w:t>gas</w:t>
            </w:r>
            <w:r>
              <w:rPr>
                <w:spacing w:val="-3"/>
              </w:rPr>
              <w:t> </w:t>
            </w:r>
            <w:r>
              <w:rPr/>
              <w:t>natural</w:t>
              <w:tab/>
              <w:t>101</w:t>
            </w:r>
          </w:hyperlink>
        </w:p>
        <w:p>
          <w:pPr>
            <w:pStyle w:val="TOC7"/>
            <w:tabs>
              <w:tab w:pos="9176" w:val="left" w:leader="dot"/>
            </w:tabs>
          </w:pPr>
          <w:hyperlink w:history="true" w:anchor="_TOC_250001">
            <w:r>
              <w:rPr/>
              <w:t>Energías</w:t>
            </w:r>
            <w:r>
              <w:rPr>
                <w:spacing w:val="-3"/>
              </w:rPr>
              <w:t> </w:t>
            </w:r>
            <w:r>
              <w:rPr/>
              <w:t>Renovables</w:t>
              <w:tab/>
              <w:t>101</w:t>
            </w:r>
          </w:hyperlink>
        </w:p>
        <w:p>
          <w:pPr>
            <w:pStyle w:val="TOC5"/>
            <w:tabs>
              <w:tab w:pos="9176" w:val="left" w:leader="dot"/>
            </w:tabs>
            <w:rPr>
              <w:b w:val="0"/>
              <w:i w:val="0"/>
              <w:sz w:val="24"/>
            </w:rPr>
          </w:pPr>
          <w:hyperlink w:history="true" w:anchor="_TOC_250000">
            <w:r>
              <w:rPr>
                <w:i w:val="0"/>
                <w:sz w:val="24"/>
              </w:rPr>
              <w:t>ANEXOS</w:t>
              <w:tab/>
            </w:r>
            <w:r>
              <w:rPr>
                <w:b w:val="0"/>
                <w:i w:val="0"/>
                <w:sz w:val="24"/>
              </w:rPr>
              <w:t>104</w:t>
            </w:r>
          </w:hyperlink>
        </w:p>
      </w:sdtContent>
    </w:sdt>
    <w:p>
      <w:pPr>
        <w:spacing w:after="0"/>
        <w:rPr>
          <w:sz w:val="24"/>
        </w:rPr>
        <w:sectPr>
          <w:type w:val="continuous"/>
          <w:pgSz w:w="12240" w:h="15840"/>
          <w:pgMar w:top="1500" w:bottom="1459" w:left="1220" w:right="1220"/>
        </w:sectPr>
      </w:pPr>
    </w:p>
    <w:p>
      <w:pPr>
        <w:spacing w:before="112"/>
        <w:ind w:left="524" w:right="522" w:firstLine="0"/>
        <w:jc w:val="center"/>
        <w:rPr>
          <w:rFonts w:ascii="Verdana"/>
          <w:b/>
          <w:sz w:val="28"/>
        </w:rPr>
      </w:pPr>
      <w:r>
        <w:rPr>
          <w:rFonts w:ascii="Verdana"/>
          <w:b/>
          <w:sz w:val="28"/>
        </w:rPr>
        <w:t>GLOSARIO</w:t>
      </w:r>
    </w:p>
    <w:p>
      <w:pPr>
        <w:pStyle w:val="BodyText"/>
        <w:spacing w:before="1"/>
        <w:rPr>
          <w:rFonts w:ascii="Verdana"/>
          <w:b/>
          <w:sz w:val="28"/>
        </w:rPr>
      </w:pPr>
    </w:p>
    <w:p>
      <w:pPr>
        <w:spacing w:before="0"/>
        <w:ind w:left="521" w:right="523" w:firstLine="0"/>
        <w:jc w:val="center"/>
        <w:rPr>
          <w:b/>
          <w:sz w:val="24"/>
        </w:rPr>
      </w:pPr>
      <w:r>
        <w:rPr>
          <w:b/>
          <w:sz w:val="24"/>
        </w:rPr>
        <w:t>ABREVIACIONES Y ACRONIMOS</w:t>
      </w:r>
    </w:p>
    <w:p>
      <w:pPr>
        <w:pStyle w:val="BodyText"/>
        <w:spacing w:before="4"/>
        <w:rPr>
          <w:b/>
          <w:sz w:val="28"/>
        </w:rPr>
      </w:pPr>
    </w:p>
    <w:p>
      <w:pPr>
        <w:pStyle w:val="BodyText"/>
        <w:tabs>
          <w:tab w:pos="1631" w:val="left" w:leader="none"/>
        </w:tabs>
        <w:spacing w:line="277" w:lineRule="exact"/>
        <w:ind w:left="219"/>
      </w:pPr>
      <w:r>
        <w:rPr>
          <w:b/>
        </w:rPr>
        <w:t>BID</w:t>
        <w:tab/>
      </w:r>
      <w:r>
        <w:rPr/>
        <w:t>Banco Interamericano de Desarrollo</w:t>
      </w:r>
    </w:p>
    <w:p>
      <w:pPr>
        <w:pStyle w:val="BodyText"/>
        <w:tabs>
          <w:tab w:pos="1631" w:val="left" w:leader="none"/>
        </w:tabs>
        <w:spacing w:line="277" w:lineRule="exact"/>
        <w:ind w:left="219"/>
      </w:pPr>
      <w:r>
        <w:rPr>
          <w:b/>
        </w:rPr>
        <w:t>BNEN</w:t>
        <w:tab/>
      </w:r>
      <w:r>
        <w:rPr/>
        <w:t>Balance Nacional de Energía</w:t>
      </w:r>
      <w:r>
        <w:rPr>
          <w:spacing w:val="-2"/>
        </w:rPr>
        <w:t> </w:t>
      </w:r>
      <w:r>
        <w:rPr/>
        <w:t>Neta</w:t>
      </w:r>
    </w:p>
    <w:p>
      <w:pPr>
        <w:pStyle w:val="BodyText"/>
        <w:tabs>
          <w:tab w:pos="1631" w:val="left" w:leader="none"/>
        </w:tabs>
        <w:spacing w:before="1"/>
        <w:ind w:left="219"/>
      </w:pPr>
      <w:r>
        <w:rPr>
          <w:b/>
        </w:rPr>
        <w:t>C.H.</w:t>
        <w:tab/>
      </w:r>
      <w:r>
        <w:rPr/>
        <w:t>Central</w:t>
      </w:r>
      <w:r>
        <w:rPr>
          <w:spacing w:val="-1"/>
        </w:rPr>
        <w:t> </w:t>
      </w:r>
      <w:r>
        <w:rPr/>
        <w:t>Hidroeléctrica</w:t>
      </w:r>
    </w:p>
    <w:p>
      <w:pPr>
        <w:pStyle w:val="BodyText"/>
        <w:tabs>
          <w:tab w:pos="1631" w:val="left" w:leader="none"/>
        </w:tabs>
        <w:spacing w:line="277" w:lineRule="exact" w:before="1"/>
        <w:ind w:left="219"/>
      </w:pPr>
      <w:r>
        <w:rPr>
          <w:b/>
        </w:rPr>
        <w:t>CCGT</w:t>
        <w:tab/>
      </w:r>
      <w:r>
        <w:rPr/>
        <w:t>Combined Cycle Gas Turbine - turbina de gas de ciclo</w:t>
      </w:r>
      <w:r>
        <w:rPr>
          <w:spacing w:val="-5"/>
        </w:rPr>
        <w:t> </w:t>
      </w:r>
      <w:r>
        <w:rPr/>
        <w:t>combinado</w:t>
      </w:r>
    </w:p>
    <w:p>
      <w:pPr>
        <w:pStyle w:val="BodyText"/>
        <w:tabs>
          <w:tab w:pos="1631" w:val="left" w:leader="none"/>
        </w:tabs>
        <w:spacing w:line="277" w:lineRule="exact"/>
        <w:ind w:left="219"/>
      </w:pPr>
      <w:r>
        <w:rPr>
          <w:b/>
        </w:rPr>
        <w:t>CDEEE</w:t>
        <w:tab/>
      </w:r>
      <w:r>
        <w:rPr/>
        <w:t>Corporación Dominicana de Empresas Eléctricas</w:t>
      </w:r>
      <w:r>
        <w:rPr>
          <w:spacing w:val="-4"/>
        </w:rPr>
        <w:t> </w:t>
      </w:r>
      <w:r>
        <w:rPr/>
        <w:t>Estatales</w:t>
      </w:r>
    </w:p>
    <w:p>
      <w:pPr>
        <w:pStyle w:val="BodyText"/>
        <w:tabs>
          <w:tab w:pos="1631" w:val="left" w:leader="none"/>
        </w:tabs>
        <w:spacing w:before="1"/>
        <w:ind w:left="219"/>
      </w:pPr>
      <w:r>
        <w:rPr>
          <w:b/>
        </w:rPr>
        <w:t>CER</w:t>
        <w:tab/>
      </w:r>
      <w:r>
        <w:rPr/>
        <w:t>Carbon Emission Reduction - reducción de emisiones de</w:t>
      </w:r>
      <w:r>
        <w:rPr>
          <w:spacing w:val="-5"/>
        </w:rPr>
        <w:t> </w:t>
      </w:r>
      <w:r>
        <w:rPr/>
        <w:t>carbono</w:t>
      </w:r>
    </w:p>
    <w:p>
      <w:pPr>
        <w:pStyle w:val="BodyText"/>
        <w:tabs>
          <w:tab w:pos="1631" w:val="left" w:leader="none"/>
        </w:tabs>
        <w:spacing w:line="277" w:lineRule="exact"/>
        <w:ind w:left="219"/>
      </w:pPr>
      <w:r>
        <w:rPr>
          <w:b/>
        </w:rPr>
        <w:t>CNE</w:t>
        <w:tab/>
      </w:r>
      <w:r>
        <w:rPr/>
        <w:t>Comisión Nacional de</w:t>
      </w:r>
      <w:r>
        <w:rPr>
          <w:spacing w:val="-1"/>
        </w:rPr>
        <w:t> </w:t>
      </w:r>
      <w:r>
        <w:rPr/>
        <w:t>Energía</w:t>
      </w:r>
    </w:p>
    <w:p>
      <w:pPr>
        <w:pStyle w:val="BodyText"/>
        <w:tabs>
          <w:tab w:pos="1631" w:val="left" w:leader="none"/>
        </w:tabs>
        <w:spacing w:line="277" w:lineRule="exact"/>
        <w:ind w:left="219"/>
      </w:pPr>
      <w:r>
        <w:rPr>
          <w:b/>
        </w:rPr>
        <w:t>CONAE</w:t>
        <w:tab/>
      </w:r>
      <w:r>
        <w:rPr/>
        <w:t>Comisión Nacional para el Ahorro de</w:t>
      </w:r>
      <w:r>
        <w:rPr>
          <w:spacing w:val="-4"/>
        </w:rPr>
        <w:t> </w:t>
      </w:r>
      <w:r>
        <w:rPr/>
        <w:t>Energía</w:t>
      </w:r>
    </w:p>
    <w:p>
      <w:pPr>
        <w:pStyle w:val="BodyText"/>
        <w:spacing w:before="1"/>
        <w:ind w:left="1638" w:right="315" w:hanging="1419"/>
      </w:pPr>
      <w:r>
        <w:rPr>
          <w:b/>
        </w:rPr>
        <w:t>CONARTIA  </w:t>
      </w:r>
      <w:r>
        <w:rPr/>
        <w:t>Comisión Nacional de Reglamentos Técnicos de la Ingeniería, la Arquitectura  y Ramas</w:t>
      </w:r>
      <w:r>
        <w:rPr>
          <w:spacing w:val="70"/>
        </w:rPr>
        <w:t> </w:t>
      </w:r>
      <w:r>
        <w:rPr/>
        <w:t>Afines</w:t>
      </w:r>
    </w:p>
    <w:p>
      <w:pPr>
        <w:pStyle w:val="BodyText"/>
        <w:tabs>
          <w:tab w:pos="1631" w:val="left" w:leader="none"/>
        </w:tabs>
        <w:spacing w:line="277" w:lineRule="exact"/>
        <w:ind w:left="219"/>
      </w:pPr>
      <w:r>
        <w:rPr>
          <w:b/>
        </w:rPr>
        <w:t>CO2</w:t>
        <w:tab/>
      </w:r>
      <w:r>
        <w:rPr/>
        <w:t>Bióxido de Carbono</w:t>
      </w:r>
    </w:p>
    <w:p>
      <w:pPr>
        <w:pStyle w:val="BodyText"/>
        <w:tabs>
          <w:tab w:pos="1631" w:val="left" w:leader="none"/>
        </w:tabs>
        <w:spacing w:before="1"/>
        <w:ind w:left="219"/>
      </w:pPr>
      <w:r>
        <w:rPr>
          <w:b/>
        </w:rPr>
        <w:t>CPC</w:t>
        <w:tab/>
      </w:r>
      <w:r>
        <w:rPr/>
        <w:t>Concentradores parabólicos</w:t>
      </w:r>
      <w:r>
        <w:rPr>
          <w:spacing w:val="-1"/>
        </w:rPr>
        <w:t> </w:t>
      </w:r>
      <w:r>
        <w:rPr/>
        <w:t>compuestos</w:t>
      </w:r>
    </w:p>
    <w:p>
      <w:pPr>
        <w:pStyle w:val="BodyText"/>
        <w:tabs>
          <w:tab w:pos="1631" w:val="left" w:leader="none"/>
        </w:tabs>
        <w:spacing w:line="277" w:lineRule="exact" w:before="1"/>
        <w:ind w:left="219"/>
      </w:pPr>
      <w:r>
        <w:rPr>
          <w:b/>
        </w:rPr>
        <w:t>CRI</w:t>
        <w:tab/>
      </w:r>
      <w:r>
        <w:rPr/>
        <w:t>Índices de rendición de</w:t>
      </w:r>
      <w:r>
        <w:rPr>
          <w:spacing w:val="-4"/>
        </w:rPr>
        <w:t> </w:t>
      </w:r>
      <w:r>
        <w:rPr/>
        <w:t>color</w:t>
      </w:r>
    </w:p>
    <w:p>
      <w:pPr>
        <w:pStyle w:val="BodyText"/>
        <w:tabs>
          <w:tab w:pos="1631" w:val="left" w:leader="none"/>
        </w:tabs>
        <w:spacing w:line="277" w:lineRule="exact"/>
        <w:ind w:left="219"/>
      </w:pPr>
      <w:r>
        <w:rPr>
          <w:b/>
        </w:rPr>
        <w:t>CRI</w:t>
        <w:tab/>
      </w:r>
      <w:r>
        <w:rPr/>
        <w:t>Cash Recovery Index - Índice de recuperación de</w:t>
      </w:r>
      <w:r>
        <w:rPr>
          <w:spacing w:val="-2"/>
        </w:rPr>
        <w:t> </w:t>
      </w:r>
      <w:r>
        <w:rPr/>
        <w:t>efectivo</w:t>
      </w:r>
    </w:p>
    <w:p>
      <w:pPr>
        <w:pStyle w:val="BodyText"/>
        <w:tabs>
          <w:tab w:pos="1631" w:val="left" w:leader="none"/>
        </w:tabs>
        <w:spacing w:before="1"/>
        <w:ind w:left="219"/>
      </w:pPr>
      <w:r>
        <w:rPr>
          <w:b/>
        </w:rPr>
        <w:t>CSA</w:t>
        <w:tab/>
      </w:r>
      <w:r>
        <w:rPr/>
        <w:t>Calentador solar de agua</w:t>
      </w:r>
    </w:p>
    <w:p>
      <w:pPr>
        <w:pStyle w:val="BodyText"/>
        <w:tabs>
          <w:tab w:pos="1631" w:val="left" w:leader="none"/>
        </w:tabs>
        <w:spacing w:line="277" w:lineRule="exact"/>
        <w:ind w:left="219"/>
      </w:pPr>
      <w:r>
        <w:rPr>
          <w:b/>
        </w:rPr>
        <w:t>DIGENOR</w:t>
        <w:tab/>
      </w:r>
      <w:r>
        <w:rPr/>
        <w:t>Dirección General de Normas y Sistemas de</w:t>
      </w:r>
      <w:r>
        <w:rPr>
          <w:spacing w:val="2"/>
        </w:rPr>
        <w:t> </w:t>
      </w:r>
      <w:r>
        <w:rPr/>
        <w:t>Calidad</w:t>
      </w:r>
    </w:p>
    <w:p>
      <w:pPr>
        <w:tabs>
          <w:tab w:pos="1631" w:val="left" w:leader="none"/>
        </w:tabs>
        <w:spacing w:line="277" w:lineRule="exact" w:before="0"/>
        <w:ind w:left="219" w:right="0" w:firstLine="0"/>
        <w:jc w:val="left"/>
        <w:rPr>
          <w:sz w:val="23"/>
        </w:rPr>
      </w:pPr>
      <w:r>
        <w:rPr>
          <w:b/>
          <w:sz w:val="23"/>
        </w:rPr>
        <w:t>DO</w:t>
        <w:tab/>
      </w:r>
      <w:r>
        <w:rPr>
          <w:sz w:val="23"/>
        </w:rPr>
        <w:t>Diesel</w:t>
      </w:r>
    </w:p>
    <w:p>
      <w:pPr>
        <w:pStyle w:val="BodyText"/>
        <w:tabs>
          <w:tab w:pos="1631" w:val="left" w:leader="none"/>
        </w:tabs>
        <w:spacing w:before="1"/>
        <w:ind w:left="219" w:right="3377"/>
      </w:pPr>
      <w:r>
        <w:rPr>
          <w:b/>
        </w:rPr>
        <w:t>EDENORTE </w:t>
      </w:r>
      <w:r>
        <w:rPr/>
        <w:t>Empresa Distribuidora de Electricidad del Norte </w:t>
      </w:r>
      <w:r>
        <w:rPr>
          <w:b/>
        </w:rPr>
        <w:t>EDESUR</w:t>
        <w:tab/>
      </w:r>
      <w:r>
        <w:rPr/>
        <w:t>Empresa Distribuidora de Electricidad del Sur </w:t>
      </w:r>
      <w:r>
        <w:rPr>
          <w:b/>
        </w:rPr>
        <w:t>EER</w:t>
        <w:tab/>
      </w:r>
      <w:r>
        <w:rPr/>
        <w:t>Energy Efficiency</w:t>
      </w:r>
      <w:r>
        <w:rPr>
          <w:spacing w:val="-2"/>
        </w:rPr>
        <w:t> </w:t>
      </w:r>
      <w:r>
        <w:rPr/>
        <w:t>Ratio</w:t>
      </w:r>
    </w:p>
    <w:p>
      <w:pPr>
        <w:pStyle w:val="BodyText"/>
        <w:tabs>
          <w:tab w:pos="1638" w:val="left" w:leader="none"/>
        </w:tabs>
        <w:ind w:left="1638" w:right="315" w:hanging="1419"/>
      </w:pPr>
      <w:r>
        <w:rPr>
          <w:b/>
        </w:rPr>
        <w:t>EGEHID</w:t>
        <w:tab/>
      </w:r>
      <w:r>
        <w:rPr/>
        <w:t>Empresa de Generación Hidroeléctrica Dominicana ESCO = Empresa de Servicios</w:t>
      </w:r>
      <w:r>
        <w:rPr>
          <w:spacing w:val="-1"/>
        </w:rPr>
        <w:t> </w:t>
      </w:r>
      <w:r>
        <w:rPr/>
        <w:t>Energéticos</w:t>
      </w:r>
    </w:p>
    <w:p>
      <w:pPr>
        <w:pStyle w:val="BodyText"/>
        <w:tabs>
          <w:tab w:pos="1631" w:val="left" w:leader="none"/>
          <w:tab w:pos="1703" w:val="left" w:leader="none"/>
        </w:tabs>
        <w:ind w:left="219" w:right="3048"/>
      </w:pPr>
      <w:r>
        <w:rPr>
          <w:b/>
        </w:rPr>
        <w:t>ETED</w:t>
        <w:tab/>
        <w:tab/>
      </w:r>
      <w:r>
        <w:rPr/>
        <w:t>Empresa de Transmisión Eléctrica Dominicana </w:t>
      </w:r>
      <w:r>
        <w:rPr>
          <w:b/>
        </w:rPr>
        <w:t>EESRP</w:t>
        <w:tab/>
      </w:r>
      <w:r>
        <w:rPr/>
        <w:t>Programa de Reestructuración del Sector Eléctrico </w:t>
      </w:r>
      <w:r>
        <w:rPr>
          <w:b/>
        </w:rPr>
        <w:t>EGEHID</w:t>
        <w:tab/>
      </w:r>
      <w:r>
        <w:rPr/>
        <w:t>Empresa de Generación Hidroeléctrica</w:t>
      </w:r>
      <w:r>
        <w:rPr>
          <w:spacing w:val="-19"/>
        </w:rPr>
        <w:t> </w:t>
      </w:r>
      <w:r>
        <w:rPr/>
        <w:t>Dominicana</w:t>
      </w:r>
    </w:p>
    <w:p>
      <w:pPr>
        <w:pStyle w:val="BodyText"/>
        <w:tabs>
          <w:tab w:pos="1631" w:val="left" w:leader="none"/>
        </w:tabs>
        <w:ind w:left="219"/>
      </w:pPr>
      <w:r>
        <w:rPr>
          <w:b/>
        </w:rPr>
        <w:t>FAURE</w:t>
        <w:tab/>
      </w:r>
      <w:r>
        <w:rPr/>
        <w:t>Gerencia de Fuentes Alternas y Uso Racional de</w:t>
      </w:r>
      <w:r>
        <w:rPr>
          <w:spacing w:val="-5"/>
        </w:rPr>
        <w:t> </w:t>
      </w:r>
      <w:r>
        <w:rPr/>
        <w:t>Energía</w:t>
      </w:r>
    </w:p>
    <w:p>
      <w:pPr>
        <w:pStyle w:val="BodyText"/>
        <w:tabs>
          <w:tab w:pos="1631" w:val="left" w:leader="none"/>
        </w:tabs>
        <w:ind w:left="219"/>
      </w:pPr>
      <w:r>
        <w:rPr>
          <w:b/>
        </w:rPr>
        <w:t>FER</w:t>
        <w:tab/>
      </w:r>
      <w:r>
        <w:rPr/>
        <w:t>Fuentes de Energía</w:t>
      </w:r>
      <w:r>
        <w:rPr>
          <w:spacing w:val="-1"/>
        </w:rPr>
        <w:t> </w:t>
      </w:r>
      <w:r>
        <w:rPr/>
        <w:t>Renovables</w:t>
      </w:r>
    </w:p>
    <w:p>
      <w:pPr>
        <w:pStyle w:val="BodyText"/>
        <w:tabs>
          <w:tab w:pos="1631" w:val="left" w:leader="none"/>
        </w:tabs>
        <w:spacing w:line="277" w:lineRule="exact" w:before="1"/>
        <w:ind w:left="219"/>
      </w:pPr>
      <w:r>
        <w:rPr>
          <w:b/>
        </w:rPr>
        <w:t>FB</w:t>
        <w:tab/>
      </w:r>
      <w:r>
        <w:rPr/>
        <w:t>Fundación</w:t>
      </w:r>
      <w:r>
        <w:rPr>
          <w:spacing w:val="-2"/>
        </w:rPr>
        <w:t> </w:t>
      </w:r>
      <w:r>
        <w:rPr/>
        <w:t>Bariloche</w:t>
      </w:r>
    </w:p>
    <w:p>
      <w:pPr>
        <w:pStyle w:val="BodyText"/>
        <w:tabs>
          <w:tab w:pos="1631" w:val="left" w:leader="none"/>
        </w:tabs>
        <w:spacing w:line="277" w:lineRule="exact"/>
        <w:ind w:left="219"/>
      </w:pPr>
      <w:r>
        <w:rPr>
          <w:b/>
        </w:rPr>
        <w:t>GDR</w:t>
        <w:tab/>
      </w:r>
      <w:r>
        <w:rPr/>
        <w:t>Gobierno de la República</w:t>
      </w:r>
      <w:r>
        <w:rPr>
          <w:spacing w:val="-4"/>
        </w:rPr>
        <w:t> </w:t>
      </w:r>
      <w:r>
        <w:rPr/>
        <w:t>Dominicana</w:t>
      </w:r>
    </w:p>
    <w:p>
      <w:pPr>
        <w:pStyle w:val="BodyText"/>
        <w:tabs>
          <w:tab w:pos="1631" w:val="left" w:leader="none"/>
        </w:tabs>
        <w:spacing w:line="276" w:lineRule="exact" w:before="1"/>
        <w:ind w:left="219"/>
      </w:pPr>
      <w:r>
        <w:rPr>
          <w:b/>
        </w:rPr>
        <w:t>GEF</w:t>
        <w:tab/>
      </w:r>
      <w:r>
        <w:rPr/>
        <w:t>Global Environment</w:t>
      </w:r>
      <w:r>
        <w:rPr>
          <w:spacing w:val="-1"/>
        </w:rPr>
        <w:t> </w:t>
      </w:r>
      <w:r>
        <w:rPr/>
        <w:t>Facility</w:t>
      </w:r>
    </w:p>
    <w:p>
      <w:pPr>
        <w:pStyle w:val="BodyText"/>
        <w:tabs>
          <w:tab w:pos="1631" w:val="left" w:leader="none"/>
        </w:tabs>
        <w:spacing w:line="278" w:lineRule="exact"/>
        <w:ind w:left="219"/>
      </w:pPr>
      <w:r>
        <w:rPr>
          <w:b/>
        </w:rPr>
        <w:t>GHG</w:t>
        <w:tab/>
      </w:r>
      <w:r>
        <w:rPr>
          <w:rFonts w:ascii="Times New Roman"/>
        </w:rPr>
        <w:t>G</w:t>
      </w:r>
      <w:r>
        <w:rPr/>
        <w:t>reenhouse gases-gases efecto invernadero</w:t>
      </w:r>
    </w:p>
    <w:p>
      <w:pPr>
        <w:pStyle w:val="BodyText"/>
        <w:tabs>
          <w:tab w:pos="1631" w:val="left" w:leader="none"/>
        </w:tabs>
        <w:spacing w:line="276" w:lineRule="exact" w:before="3"/>
        <w:ind w:left="219"/>
      </w:pPr>
      <w:r>
        <w:rPr>
          <w:b/>
        </w:rPr>
        <w:t>GM</w:t>
        <w:tab/>
      </w:r>
      <w:r>
        <w:rPr/>
        <w:t>Gasolina</w:t>
      </w:r>
      <w:r>
        <w:rPr>
          <w:spacing w:val="-2"/>
        </w:rPr>
        <w:t> </w:t>
      </w:r>
      <w:r>
        <w:rPr/>
        <w:t>Motor</w:t>
      </w:r>
    </w:p>
    <w:p>
      <w:pPr>
        <w:tabs>
          <w:tab w:pos="1631" w:val="left" w:leader="none"/>
        </w:tabs>
        <w:spacing w:line="278" w:lineRule="exact" w:before="0"/>
        <w:ind w:left="219" w:right="0" w:firstLine="0"/>
        <w:jc w:val="left"/>
        <w:rPr>
          <w:sz w:val="23"/>
        </w:rPr>
      </w:pPr>
      <w:r>
        <w:rPr>
          <w:b/>
          <w:sz w:val="23"/>
        </w:rPr>
        <w:t>GN</w:t>
        <w:tab/>
      </w:r>
      <w:r>
        <w:rPr>
          <w:rFonts w:ascii="Times New Roman"/>
          <w:sz w:val="23"/>
        </w:rPr>
        <w:t>G</w:t>
      </w:r>
      <w:r>
        <w:rPr>
          <w:sz w:val="23"/>
        </w:rPr>
        <w:t>as</w:t>
      </w:r>
      <w:r>
        <w:rPr>
          <w:spacing w:val="-1"/>
          <w:sz w:val="23"/>
        </w:rPr>
        <w:t> </w:t>
      </w:r>
      <w:r>
        <w:rPr>
          <w:sz w:val="23"/>
        </w:rPr>
        <w:t>Natural</w:t>
      </w:r>
    </w:p>
    <w:p>
      <w:pPr>
        <w:pStyle w:val="BodyText"/>
        <w:tabs>
          <w:tab w:pos="1631" w:val="left" w:leader="none"/>
        </w:tabs>
        <w:spacing w:line="274" w:lineRule="exact" w:before="6"/>
        <w:ind w:left="219"/>
      </w:pPr>
      <w:r>
        <w:rPr>
          <w:b/>
        </w:rPr>
        <w:t>GNC</w:t>
        <w:tab/>
      </w:r>
      <w:r>
        <w:rPr/>
        <w:t>Gas Natural</w:t>
      </w:r>
      <w:r>
        <w:rPr>
          <w:spacing w:val="-1"/>
        </w:rPr>
        <w:t> </w:t>
      </w:r>
      <w:r>
        <w:rPr/>
        <w:t>Comprimido</w:t>
      </w:r>
    </w:p>
    <w:p>
      <w:pPr>
        <w:pStyle w:val="BodyText"/>
        <w:tabs>
          <w:tab w:pos="1631" w:val="left" w:leader="none"/>
        </w:tabs>
        <w:spacing w:line="277" w:lineRule="exact"/>
        <w:ind w:left="219"/>
      </w:pPr>
      <w:r>
        <w:rPr>
          <w:b/>
        </w:rPr>
        <w:t>GNL</w:t>
        <w:tab/>
      </w:r>
      <w:r>
        <w:rPr>
          <w:rFonts w:ascii="Times New Roman"/>
        </w:rPr>
        <w:t>G</w:t>
      </w:r>
      <w:r>
        <w:rPr/>
        <w:t>as Natural</w:t>
      </w:r>
      <w:r>
        <w:rPr>
          <w:spacing w:val="-1"/>
        </w:rPr>
        <w:t> </w:t>
      </w:r>
      <w:r>
        <w:rPr/>
        <w:t>Licuado</w:t>
      </w:r>
    </w:p>
    <w:p>
      <w:pPr>
        <w:pStyle w:val="BodyText"/>
        <w:tabs>
          <w:tab w:pos="1631" w:val="left" w:leader="none"/>
        </w:tabs>
        <w:spacing w:before="5"/>
        <w:ind w:left="219" w:right="5124"/>
      </w:pPr>
      <w:r>
        <w:rPr>
          <w:b/>
        </w:rPr>
        <w:t>GTZ</w:t>
        <w:tab/>
      </w:r>
      <w:r>
        <w:rPr/>
        <w:t>Cooperación Técnica Alemana </w:t>
      </w:r>
      <w:r>
        <w:rPr>
          <w:b/>
        </w:rPr>
        <w:t>GWEC</w:t>
        <w:tab/>
      </w:r>
      <w:r>
        <w:rPr/>
        <w:t>Global Wind Energy Council </w:t>
      </w:r>
      <w:r>
        <w:rPr>
          <w:b/>
        </w:rPr>
        <w:t>IAD</w:t>
        <w:tab/>
      </w:r>
      <w:r>
        <w:rPr/>
        <w:t>Instituto Agrario</w:t>
      </w:r>
      <w:r>
        <w:rPr>
          <w:spacing w:val="-6"/>
        </w:rPr>
        <w:t> </w:t>
      </w:r>
      <w:r>
        <w:rPr/>
        <w:t>Dominicano</w:t>
      </w:r>
    </w:p>
    <w:p>
      <w:pPr>
        <w:pStyle w:val="BodyText"/>
        <w:tabs>
          <w:tab w:pos="1631" w:val="left" w:leader="none"/>
        </w:tabs>
        <w:ind w:left="219"/>
      </w:pPr>
      <w:r>
        <w:rPr>
          <w:b/>
        </w:rPr>
        <w:t>IDEE</w:t>
        <w:tab/>
      </w:r>
      <w:r>
        <w:rPr/>
        <w:t>Instituto de Economía</w:t>
      </w:r>
      <w:r>
        <w:rPr>
          <w:spacing w:val="-1"/>
        </w:rPr>
        <w:t> </w:t>
      </w:r>
      <w:r>
        <w:rPr/>
        <w:t>Energética</w:t>
      </w:r>
    </w:p>
    <w:p>
      <w:pPr>
        <w:pStyle w:val="BodyText"/>
        <w:tabs>
          <w:tab w:pos="1631" w:val="left" w:leader="none"/>
        </w:tabs>
        <w:spacing w:line="277" w:lineRule="exact" w:before="1"/>
        <w:ind w:left="219"/>
      </w:pPr>
      <w:r>
        <w:rPr>
          <w:b/>
        </w:rPr>
        <w:t>IGCC</w:t>
        <w:tab/>
      </w:r>
      <w:r>
        <w:rPr/>
        <w:t>integrated gasification combined cycle</w:t>
      </w:r>
    </w:p>
    <w:p>
      <w:pPr>
        <w:pStyle w:val="BodyText"/>
        <w:tabs>
          <w:tab w:pos="1631" w:val="left" w:leader="none"/>
        </w:tabs>
        <w:spacing w:line="277" w:lineRule="exact"/>
        <w:ind w:left="219"/>
      </w:pPr>
      <w:r>
        <w:rPr>
          <w:b/>
        </w:rPr>
        <w:t>IIBI</w:t>
        <w:tab/>
      </w:r>
      <w:r>
        <w:rPr/>
        <w:t>Instituto de Innovación en Biotecnología e</w:t>
      </w:r>
      <w:r>
        <w:rPr>
          <w:spacing w:val="-4"/>
        </w:rPr>
        <w:t> </w:t>
      </w:r>
      <w:r>
        <w:rPr/>
        <w:t>Industria</w:t>
      </w:r>
    </w:p>
    <w:p>
      <w:pPr>
        <w:spacing w:after="0" w:line="277" w:lineRule="exact"/>
        <w:sectPr>
          <w:headerReference w:type="default" r:id="rId8"/>
          <w:footerReference w:type="default" r:id="rId9"/>
          <w:pgSz w:w="12240" w:h="15840"/>
          <w:pgMar w:header="718" w:footer="954" w:top="1500" w:bottom="1140" w:left="1220" w:right="1220"/>
          <w:pgNumType w:start="1"/>
        </w:sectPr>
      </w:pPr>
    </w:p>
    <w:p>
      <w:pPr>
        <w:pStyle w:val="BodyText"/>
        <w:tabs>
          <w:tab w:pos="1631" w:val="left" w:leader="none"/>
        </w:tabs>
        <w:spacing w:before="113"/>
        <w:ind w:left="219"/>
      </w:pPr>
      <w:r>
        <w:rPr>
          <w:b/>
        </w:rPr>
        <w:t>LCF</w:t>
        <w:tab/>
      </w:r>
      <w:r>
        <w:rPr/>
        <w:t>Lámpara Fluorescente</w:t>
      </w:r>
      <w:r>
        <w:rPr>
          <w:spacing w:val="-1"/>
        </w:rPr>
        <w:t> </w:t>
      </w:r>
      <w:r>
        <w:rPr/>
        <w:t>Compacta</w:t>
      </w:r>
    </w:p>
    <w:p>
      <w:pPr>
        <w:pStyle w:val="BodyText"/>
        <w:tabs>
          <w:tab w:pos="1631" w:val="left" w:leader="none"/>
        </w:tabs>
        <w:spacing w:before="1"/>
        <w:ind w:left="219"/>
      </w:pPr>
      <w:r>
        <w:rPr>
          <w:b/>
        </w:rPr>
        <w:t>LEDs</w:t>
        <w:tab/>
      </w:r>
      <w:r>
        <w:rPr/>
        <w:t>Díodos emisores de luz</w:t>
      </w:r>
    </w:p>
    <w:p>
      <w:pPr>
        <w:pStyle w:val="BodyText"/>
        <w:tabs>
          <w:tab w:pos="1631" w:val="left" w:leader="none"/>
        </w:tabs>
        <w:spacing w:line="277" w:lineRule="exact"/>
        <w:ind w:left="219"/>
      </w:pPr>
      <w:r>
        <w:rPr>
          <w:b/>
        </w:rPr>
        <w:t>LCF</w:t>
        <w:tab/>
      </w:r>
      <w:r>
        <w:rPr/>
        <w:t>Lámpara Fluorescente</w:t>
      </w:r>
      <w:r>
        <w:rPr>
          <w:spacing w:val="-1"/>
        </w:rPr>
        <w:t> </w:t>
      </w:r>
      <w:r>
        <w:rPr/>
        <w:t>Compacta</w:t>
      </w:r>
    </w:p>
    <w:p>
      <w:pPr>
        <w:pStyle w:val="BodyText"/>
        <w:tabs>
          <w:tab w:pos="1631" w:val="left" w:leader="none"/>
        </w:tabs>
        <w:spacing w:line="277" w:lineRule="exact"/>
        <w:ind w:left="219"/>
      </w:pPr>
      <w:r>
        <w:rPr>
          <w:b/>
        </w:rPr>
        <w:t>LEDs</w:t>
        <w:tab/>
      </w:r>
      <w:r>
        <w:rPr/>
        <w:t>Díodos emisores de luz</w:t>
      </w:r>
    </w:p>
    <w:p>
      <w:pPr>
        <w:pStyle w:val="BodyText"/>
        <w:tabs>
          <w:tab w:pos="1631" w:val="left" w:leader="none"/>
        </w:tabs>
        <w:spacing w:before="1"/>
        <w:ind w:left="219"/>
      </w:pPr>
      <w:r>
        <w:rPr>
          <w:b/>
        </w:rPr>
        <w:t>MDMV</w:t>
        <w:tab/>
      </w:r>
      <w:r>
        <w:rPr/>
        <w:t>motor diesel de mediana</w:t>
      </w:r>
      <w:r>
        <w:rPr>
          <w:spacing w:val="-4"/>
        </w:rPr>
        <w:t> </w:t>
      </w:r>
      <w:r>
        <w:rPr/>
        <w:t>velocidad</w:t>
      </w:r>
    </w:p>
    <w:p>
      <w:pPr>
        <w:pStyle w:val="BodyText"/>
        <w:tabs>
          <w:tab w:pos="1631" w:val="left" w:leader="none"/>
        </w:tabs>
        <w:spacing w:line="277" w:lineRule="exact" w:before="1"/>
        <w:ind w:left="219"/>
      </w:pPr>
      <w:r>
        <w:rPr>
          <w:b/>
        </w:rPr>
        <w:t>INDRHI</w:t>
        <w:tab/>
      </w:r>
      <w:r>
        <w:rPr/>
        <w:t>Instituto Dominicano de Recursos</w:t>
      </w:r>
      <w:r>
        <w:rPr>
          <w:spacing w:val="-4"/>
        </w:rPr>
        <w:t> </w:t>
      </w:r>
      <w:r>
        <w:rPr/>
        <w:t>Hidráulicos</w:t>
      </w:r>
    </w:p>
    <w:p>
      <w:pPr>
        <w:pStyle w:val="BodyText"/>
        <w:tabs>
          <w:tab w:pos="1631" w:val="left" w:leader="none"/>
        </w:tabs>
        <w:spacing w:line="277" w:lineRule="exact"/>
        <w:ind w:left="219"/>
      </w:pPr>
      <w:r>
        <w:rPr>
          <w:b/>
        </w:rPr>
        <w:t>INDOTEC</w:t>
        <w:tab/>
      </w:r>
      <w:r>
        <w:rPr/>
        <w:t>Instituto Dominicano de Tecnología (transformado en</w:t>
      </w:r>
      <w:r>
        <w:rPr>
          <w:spacing w:val="-4"/>
        </w:rPr>
        <w:t> </w:t>
      </w:r>
      <w:r>
        <w:rPr/>
        <w:t>IIBI)</w:t>
      </w:r>
    </w:p>
    <w:p>
      <w:pPr>
        <w:pStyle w:val="BodyText"/>
        <w:tabs>
          <w:tab w:pos="1631" w:val="left" w:leader="none"/>
        </w:tabs>
        <w:spacing w:before="1"/>
        <w:ind w:left="219"/>
      </w:pPr>
      <w:r>
        <w:rPr>
          <w:b/>
        </w:rPr>
        <w:t>IPC</w:t>
        <w:tab/>
      </w:r>
      <w:r>
        <w:rPr/>
        <w:t>índice de precios al</w:t>
      </w:r>
      <w:r>
        <w:rPr>
          <w:spacing w:val="1"/>
        </w:rPr>
        <w:t> </w:t>
      </w:r>
      <w:r>
        <w:rPr/>
        <w:t>consumidor</w:t>
      </w:r>
    </w:p>
    <w:p>
      <w:pPr>
        <w:pStyle w:val="BodyText"/>
        <w:tabs>
          <w:tab w:pos="1631" w:val="left" w:leader="none"/>
        </w:tabs>
        <w:ind w:left="219"/>
      </w:pPr>
      <w:r>
        <w:rPr>
          <w:b/>
        </w:rPr>
        <w:t>LGE</w:t>
        <w:tab/>
      </w:r>
      <w:r>
        <w:rPr/>
        <w:t>Ley General de Electricidad</w:t>
      </w:r>
      <w:r>
        <w:rPr>
          <w:spacing w:val="1"/>
        </w:rPr>
        <w:t> </w:t>
      </w:r>
      <w:r>
        <w:rPr/>
        <w:t>125-01</w:t>
      </w:r>
    </w:p>
    <w:p>
      <w:pPr>
        <w:pStyle w:val="BodyText"/>
        <w:tabs>
          <w:tab w:pos="1631" w:val="left" w:leader="none"/>
        </w:tabs>
        <w:spacing w:line="277" w:lineRule="exact" w:before="1"/>
        <w:ind w:left="219"/>
      </w:pPr>
      <w:r>
        <w:rPr>
          <w:b/>
        </w:rPr>
        <w:t>IPLV</w:t>
        <w:tab/>
      </w:r>
      <w:r>
        <w:rPr/>
        <w:t>valor integrado del comportamiento a cargas</w:t>
      </w:r>
      <w:r>
        <w:rPr>
          <w:spacing w:val="-3"/>
        </w:rPr>
        <w:t> </w:t>
      </w:r>
      <w:r>
        <w:rPr/>
        <w:t>parciales</w:t>
      </w:r>
    </w:p>
    <w:p>
      <w:pPr>
        <w:pStyle w:val="BodyText"/>
        <w:tabs>
          <w:tab w:pos="1631" w:val="left" w:leader="none"/>
        </w:tabs>
        <w:spacing w:line="277" w:lineRule="exact"/>
        <w:ind w:left="219"/>
      </w:pPr>
      <w:r>
        <w:rPr>
          <w:b/>
        </w:rPr>
        <w:t>MDL</w:t>
        <w:tab/>
      </w:r>
      <w:r>
        <w:rPr/>
        <w:t>Mecanismo de Desarrollo Limpio</w:t>
      </w:r>
    </w:p>
    <w:p>
      <w:pPr>
        <w:pStyle w:val="BodyText"/>
        <w:tabs>
          <w:tab w:pos="1630" w:val="left" w:leader="none"/>
        </w:tabs>
        <w:spacing w:before="1"/>
        <w:ind w:left="219"/>
      </w:pPr>
      <w:r>
        <w:rPr>
          <w:b/>
        </w:rPr>
        <w:t>NRECA</w:t>
        <w:tab/>
      </w:r>
      <w:r>
        <w:rPr/>
        <w:t>Asociación Nacional de Cooperativas Rurales de Electricidad de</w:t>
      </w:r>
      <w:r>
        <w:rPr>
          <w:spacing w:val="-11"/>
        </w:rPr>
        <w:t> </w:t>
      </w:r>
      <w:r>
        <w:rPr/>
        <w:t>USA</w:t>
      </w:r>
    </w:p>
    <w:p>
      <w:pPr>
        <w:pStyle w:val="BodyText"/>
        <w:tabs>
          <w:tab w:pos="1631" w:val="left" w:leader="none"/>
        </w:tabs>
        <w:spacing w:before="1"/>
        <w:ind w:left="219" w:right="4218"/>
      </w:pPr>
      <w:r>
        <w:rPr>
          <w:b/>
        </w:rPr>
        <w:t>NREL</w:t>
        <w:tab/>
      </w:r>
      <w:r>
        <w:rPr/>
        <w:t>National Renewable Energy Laboratory </w:t>
      </w:r>
      <w:r>
        <w:rPr>
          <w:b/>
        </w:rPr>
        <w:t>ONE</w:t>
        <w:tab/>
      </w:r>
      <w:r>
        <w:rPr/>
        <w:t>Oficina Nacional de Estadística de RD </w:t>
      </w:r>
      <w:r>
        <w:rPr>
          <w:b/>
        </w:rPr>
        <w:t>ONG</w:t>
        <w:tab/>
      </w:r>
      <w:r>
        <w:rPr/>
        <w:t>Organización No</w:t>
      </w:r>
      <w:r>
        <w:rPr>
          <w:spacing w:val="-1"/>
        </w:rPr>
        <w:t> </w:t>
      </w:r>
      <w:r>
        <w:rPr/>
        <w:t>Gubernamental</w:t>
      </w:r>
    </w:p>
    <w:p>
      <w:pPr>
        <w:pStyle w:val="BodyText"/>
        <w:tabs>
          <w:tab w:pos="1631" w:val="left" w:leader="none"/>
        </w:tabs>
        <w:spacing w:line="277" w:lineRule="exact"/>
        <w:ind w:left="219"/>
      </w:pPr>
      <w:r>
        <w:rPr>
          <w:b/>
        </w:rPr>
        <w:t>PCH</w:t>
        <w:tab/>
      </w:r>
      <w:r>
        <w:rPr/>
        <w:t>Pequeña Central</w:t>
      </w:r>
      <w:r>
        <w:rPr>
          <w:spacing w:val="-4"/>
        </w:rPr>
        <w:t> </w:t>
      </w:r>
      <w:r>
        <w:rPr/>
        <w:t>Hidroeléctrica</w:t>
      </w:r>
    </w:p>
    <w:p>
      <w:pPr>
        <w:pStyle w:val="BodyText"/>
        <w:tabs>
          <w:tab w:pos="1631" w:val="left" w:leader="none"/>
        </w:tabs>
        <w:spacing w:line="277" w:lineRule="exact"/>
        <w:ind w:left="219"/>
      </w:pPr>
      <w:r>
        <w:rPr>
          <w:b/>
        </w:rPr>
        <w:t>PEN</w:t>
        <w:tab/>
      </w:r>
      <w:r>
        <w:rPr/>
        <w:t>Plan Energético Nacional</w:t>
      </w:r>
    </w:p>
    <w:p>
      <w:pPr>
        <w:pStyle w:val="BodyText"/>
        <w:tabs>
          <w:tab w:pos="1631" w:val="left" w:leader="none"/>
        </w:tabs>
        <w:spacing w:before="1"/>
        <w:ind w:left="219"/>
      </w:pPr>
      <w:r>
        <w:rPr>
          <w:b/>
        </w:rPr>
        <w:t>PIB</w:t>
        <w:tab/>
      </w:r>
      <w:r>
        <w:rPr/>
        <w:t>Producto interno</w:t>
      </w:r>
      <w:r>
        <w:rPr>
          <w:spacing w:val="-1"/>
        </w:rPr>
        <w:t> </w:t>
      </w:r>
      <w:r>
        <w:rPr/>
        <w:t>bruto</w:t>
      </w:r>
    </w:p>
    <w:p>
      <w:pPr>
        <w:pStyle w:val="BodyText"/>
        <w:tabs>
          <w:tab w:pos="1631" w:val="left" w:leader="none"/>
        </w:tabs>
        <w:spacing w:line="277" w:lineRule="exact"/>
        <w:ind w:left="219"/>
      </w:pPr>
      <w:r>
        <w:rPr>
          <w:b/>
        </w:rPr>
        <w:t>PNUD</w:t>
        <w:tab/>
      </w:r>
      <w:r>
        <w:rPr/>
        <w:t>Programa de Naciones</w:t>
      </w:r>
      <w:r>
        <w:rPr>
          <w:spacing w:val="-3"/>
        </w:rPr>
        <w:t> </w:t>
      </w:r>
      <w:r>
        <w:rPr/>
        <w:t>Unidas</w:t>
      </w:r>
    </w:p>
    <w:p>
      <w:pPr>
        <w:pStyle w:val="BodyText"/>
        <w:tabs>
          <w:tab w:pos="1631" w:val="left" w:leader="none"/>
        </w:tabs>
        <w:ind w:left="219" w:right="3762"/>
      </w:pPr>
      <w:r>
        <w:rPr>
          <w:b/>
        </w:rPr>
        <w:t>PPS</w:t>
        <w:tab/>
      </w:r>
      <w:r>
        <w:rPr/>
        <w:t>Programa de Pequeños Subsidios del PNUD </w:t>
      </w:r>
      <w:r>
        <w:rPr>
          <w:b/>
        </w:rPr>
        <w:t>PRA</w:t>
        <w:tab/>
      </w:r>
      <w:r>
        <w:rPr/>
        <w:t>Programa de reducción de apagones </w:t>
      </w:r>
      <w:r>
        <w:rPr>
          <w:b/>
        </w:rPr>
        <w:t>PROFER</w:t>
        <w:tab/>
      </w:r>
      <w:r>
        <w:rPr/>
        <w:t>Proyecto Fomento de Energía Renovables </w:t>
      </w:r>
      <w:r>
        <w:rPr>
          <w:b/>
        </w:rPr>
        <w:t>Pymes</w:t>
        <w:tab/>
      </w:r>
      <w:r>
        <w:rPr/>
        <w:t>pequeñas y medianas</w:t>
      </w:r>
      <w:r>
        <w:rPr>
          <w:spacing w:val="-4"/>
        </w:rPr>
        <w:t> </w:t>
      </w:r>
      <w:r>
        <w:rPr/>
        <w:t>empresas</w:t>
      </w:r>
    </w:p>
    <w:p>
      <w:pPr>
        <w:pStyle w:val="BodyText"/>
        <w:tabs>
          <w:tab w:pos="1631" w:val="left" w:leader="none"/>
        </w:tabs>
        <w:ind w:left="219"/>
      </w:pPr>
      <w:r>
        <w:rPr>
          <w:b/>
        </w:rPr>
        <w:t>RD</w:t>
        <w:tab/>
      </w:r>
      <w:r>
        <w:rPr/>
        <w:t>República</w:t>
      </w:r>
      <w:r>
        <w:rPr>
          <w:spacing w:val="-2"/>
        </w:rPr>
        <w:t> </w:t>
      </w:r>
      <w:r>
        <w:rPr/>
        <w:t>Dominicana</w:t>
      </w:r>
    </w:p>
    <w:p>
      <w:pPr>
        <w:pStyle w:val="BodyText"/>
        <w:tabs>
          <w:tab w:pos="1631" w:val="left" w:leader="none"/>
        </w:tabs>
        <w:spacing w:line="277" w:lineRule="exact" w:before="1"/>
        <w:ind w:left="219"/>
      </w:pPr>
      <w:r>
        <w:rPr>
          <w:b/>
        </w:rPr>
        <w:t>SEIC</w:t>
        <w:tab/>
      </w:r>
      <w:r>
        <w:rPr/>
        <w:t>Secretaría de Estado de Industria y</w:t>
      </w:r>
      <w:r>
        <w:rPr>
          <w:spacing w:val="-7"/>
        </w:rPr>
        <w:t> </w:t>
      </w:r>
      <w:r>
        <w:rPr/>
        <w:t>Comercio</w:t>
      </w:r>
    </w:p>
    <w:p>
      <w:pPr>
        <w:pStyle w:val="BodyText"/>
        <w:tabs>
          <w:tab w:pos="1631" w:val="left" w:leader="none"/>
        </w:tabs>
        <w:spacing w:line="277" w:lineRule="exact"/>
        <w:ind w:left="219"/>
      </w:pPr>
      <w:r>
        <w:rPr>
          <w:b/>
        </w:rPr>
        <w:t>SIE</w:t>
        <w:tab/>
      </w:r>
      <w:r>
        <w:rPr/>
        <w:t>Superintendencia de</w:t>
      </w:r>
      <w:r>
        <w:rPr>
          <w:spacing w:val="-3"/>
        </w:rPr>
        <w:t> </w:t>
      </w:r>
      <w:r>
        <w:rPr/>
        <w:t>Electricidad</w:t>
      </w:r>
    </w:p>
    <w:p>
      <w:pPr>
        <w:pStyle w:val="BodyText"/>
        <w:tabs>
          <w:tab w:pos="1631" w:val="left" w:leader="none"/>
        </w:tabs>
        <w:spacing w:before="1"/>
        <w:ind w:left="219"/>
      </w:pPr>
      <w:r>
        <w:rPr>
          <w:b/>
        </w:rPr>
        <w:t>SFV</w:t>
        <w:tab/>
      </w:r>
      <w:r>
        <w:rPr/>
        <w:t>Sistema</w:t>
      </w:r>
      <w:r>
        <w:rPr>
          <w:spacing w:val="-2"/>
        </w:rPr>
        <w:t> </w:t>
      </w:r>
      <w:r>
        <w:rPr/>
        <w:t>Fotovoltaico</w:t>
      </w:r>
    </w:p>
    <w:p>
      <w:pPr>
        <w:pStyle w:val="BodyText"/>
        <w:tabs>
          <w:tab w:pos="1631" w:val="left" w:leader="none"/>
        </w:tabs>
        <w:spacing w:line="277" w:lineRule="exact" w:before="1"/>
        <w:ind w:left="219"/>
      </w:pPr>
      <w:r>
        <w:rPr>
          <w:b/>
        </w:rPr>
        <w:t>SHS</w:t>
        <w:tab/>
      </w:r>
      <w:r>
        <w:rPr/>
        <w:t>Solar Home System (Sistema Solar</w:t>
      </w:r>
      <w:r>
        <w:rPr>
          <w:spacing w:val="-1"/>
        </w:rPr>
        <w:t> </w:t>
      </w:r>
      <w:r>
        <w:rPr/>
        <w:t>Doméstico)</w:t>
      </w:r>
    </w:p>
    <w:p>
      <w:pPr>
        <w:pStyle w:val="BodyText"/>
        <w:tabs>
          <w:tab w:pos="1631" w:val="left" w:leader="none"/>
        </w:tabs>
        <w:spacing w:line="277" w:lineRule="exact"/>
        <w:ind w:left="219"/>
      </w:pPr>
      <w:r>
        <w:rPr>
          <w:b/>
        </w:rPr>
        <w:t>SIG</w:t>
        <w:tab/>
      </w:r>
      <w:r>
        <w:rPr/>
        <w:t>Sistema de Información</w:t>
      </w:r>
      <w:r>
        <w:rPr>
          <w:spacing w:val="-4"/>
        </w:rPr>
        <w:t> </w:t>
      </w:r>
      <w:r>
        <w:rPr/>
        <w:t>Geográfico</w:t>
      </w:r>
    </w:p>
    <w:p>
      <w:pPr>
        <w:pStyle w:val="BodyText"/>
        <w:tabs>
          <w:tab w:pos="1631" w:val="left" w:leader="none"/>
        </w:tabs>
        <w:ind w:left="219"/>
      </w:pPr>
      <w:r>
        <w:rPr>
          <w:b/>
        </w:rPr>
        <w:t>SWERA</w:t>
        <w:tab/>
      </w:r>
      <w:r>
        <w:rPr/>
        <w:t>Solar and Wind Energy Resource</w:t>
      </w:r>
      <w:r>
        <w:rPr>
          <w:spacing w:val="-3"/>
        </w:rPr>
        <w:t> </w:t>
      </w:r>
      <w:r>
        <w:rPr/>
        <w:t>Assessment</w:t>
      </w:r>
    </w:p>
    <w:p>
      <w:pPr>
        <w:pStyle w:val="BodyText"/>
        <w:tabs>
          <w:tab w:pos="1631" w:val="left" w:leader="none"/>
        </w:tabs>
        <w:spacing w:line="277" w:lineRule="exact" w:before="1"/>
        <w:ind w:left="219"/>
      </w:pPr>
      <w:r>
        <w:rPr>
          <w:b/>
        </w:rPr>
        <w:t>TR</w:t>
        <w:tab/>
      </w:r>
      <w:r>
        <w:rPr/>
        <w:t>Tasa de</w:t>
      </w:r>
      <w:r>
        <w:rPr>
          <w:spacing w:val="-1"/>
        </w:rPr>
        <w:t> </w:t>
      </w:r>
      <w:r>
        <w:rPr/>
        <w:t>retorno</w:t>
      </w:r>
    </w:p>
    <w:p>
      <w:pPr>
        <w:pStyle w:val="BodyText"/>
        <w:tabs>
          <w:tab w:pos="1631" w:val="left" w:leader="none"/>
        </w:tabs>
        <w:ind w:left="219" w:right="3729"/>
      </w:pPr>
      <w:r>
        <w:rPr>
          <w:b/>
        </w:rPr>
        <w:t>UNEP</w:t>
        <w:tab/>
      </w:r>
      <w:r>
        <w:rPr/>
        <w:t>United Nations Environmental Programme </w:t>
      </w:r>
      <w:r>
        <w:rPr>
          <w:b/>
        </w:rPr>
        <w:t>UERS</w:t>
        <w:tab/>
      </w:r>
      <w:r>
        <w:rPr/>
        <w:t>Unidad de Electrificación Rural y Suburbana </w:t>
      </w:r>
      <w:r>
        <w:rPr>
          <w:b/>
        </w:rPr>
        <w:t>URE</w:t>
        <w:tab/>
      </w:r>
      <w:r>
        <w:rPr/>
        <w:t>uso racional de energía</w:t>
      </w:r>
    </w:p>
    <w:p>
      <w:pPr>
        <w:pStyle w:val="BodyText"/>
        <w:tabs>
          <w:tab w:pos="1631" w:val="left" w:leader="none"/>
        </w:tabs>
        <w:ind w:left="219"/>
      </w:pPr>
      <w:r>
        <w:rPr>
          <w:b/>
        </w:rPr>
        <w:t>US$</w:t>
        <w:tab/>
      </w:r>
      <w:r>
        <w:rPr/>
        <w:t>Dólares</w:t>
      </w:r>
      <w:r>
        <w:rPr>
          <w:spacing w:val="-1"/>
        </w:rPr>
        <w:t> </w:t>
      </w:r>
      <w:r>
        <w:rPr/>
        <w:t>americanos</w:t>
      </w:r>
    </w:p>
    <w:p>
      <w:pPr>
        <w:pStyle w:val="BodyText"/>
        <w:tabs>
          <w:tab w:pos="1631" w:val="left" w:leader="none"/>
        </w:tabs>
        <w:ind w:left="219"/>
      </w:pPr>
      <w:r>
        <w:rPr>
          <w:b/>
        </w:rPr>
        <w:t>USAID</w:t>
        <w:tab/>
      </w:r>
      <w:r>
        <w:rPr/>
        <w:t>Agencia para el Desarrollo Internacional de los Estados</w:t>
      </w:r>
      <w:r>
        <w:rPr>
          <w:spacing w:val="-8"/>
        </w:rPr>
        <w:t> </w:t>
      </w:r>
      <w:r>
        <w:rPr/>
        <w:t>Unidos</w:t>
      </w:r>
    </w:p>
    <w:p>
      <w:pPr>
        <w:pStyle w:val="BodyText"/>
        <w:tabs>
          <w:tab w:pos="1631" w:val="left" w:leader="none"/>
        </w:tabs>
        <w:spacing w:before="1"/>
        <w:ind w:left="219"/>
      </w:pPr>
      <w:r>
        <w:rPr>
          <w:b/>
        </w:rPr>
        <w:t>WTI</w:t>
        <w:tab/>
      </w:r>
      <w:r>
        <w:rPr/>
        <w:t>West Texas</w:t>
      </w:r>
      <w:r>
        <w:rPr>
          <w:spacing w:val="-3"/>
        </w:rPr>
        <w:t> </w:t>
      </w:r>
      <w:r>
        <w:rPr/>
        <w:t>Intermediate</w:t>
      </w:r>
    </w:p>
    <w:p>
      <w:pPr>
        <w:spacing w:after="0"/>
        <w:sectPr>
          <w:pgSz w:w="12240" w:h="15840"/>
          <w:pgMar w:header="718" w:footer="954" w:top="1500" w:bottom="1140" w:left="1220" w:right="1220"/>
        </w:sectPr>
      </w:pPr>
    </w:p>
    <w:p>
      <w:pPr>
        <w:pStyle w:val="Heading5"/>
        <w:spacing w:before="112"/>
        <w:ind w:left="523" w:right="523" w:firstLine="0"/>
        <w:jc w:val="center"/>
        <w:rPr>
          <w:rFonts w:ascii="Tahoma"/>
        </w:rPr>
      </w:pPr>
      <w:r>
        <w:rPr>
          <w:rFonts w:ascii="Tahoma"/>
        </w:rPr>
        <w:t>UNIDADES</w:t>
      </w:r>
    </w:p>
    <w:p>
      <w:pPr>
        <w:pStyle w:val="BodyText"/>
        <w:spacing w:before="2"/>
        <w:rPr>
          <w:b/>
          <w:sz w:val="24"/>
        </w:rPr>
      </w:pPr>
    </w:p>
    <w:p>
      <w:pPr>
        <w:tabs>
          <w:tab w:pos="1631" w:val="left" w:leader="none"/>
        </w:tabs>
        <w:spacing w:before="0"/>
        <w:ind w:left="219" w:right="0" w:firstLine="0"/>
        <w:jc w:val="left"/>
        <w:rPr>
          <w:sz w:val="23"/>
        </w:rPr>
      </w:pPr>
      <w:r>
        <w:rPr>
          <w:b/>
          <w:sz w:val="23"/>
        </w:rPr>
        <w:t>Bbl</w:t>
        <w:tab/>
      </w:r>
      <w:r>
        <w:rPr>
          <w:sz w:val="23"/>
        </w:rPr>
        <w:t>Barril</w:t>
      </w:r>
    </w:p>
    <w:p>
      <w:pPr>
        <w:pStyle w:val="BodyText"/>
        <w:tabs>
          <w:tab w:pos="1631" w:val="left" w:leader="none"/>
        </w:tabs>
        <w:spacing w:line="277" w:lineRule="exact" w:before="1"/>
        <w:ind w:left="219"/>
      </w:pPr>
      <w:r>
        <w:rPr>
          <w:b/>
        </w:rPr>
        <w:t>BPE</w:t>
        <w:tab/>
      </w:r>
      <w:r>
        <w:rPr/>
        <w:t>Barriles de Petróleo Equivalente</w:t>
      </w:r>
    </w:p>
    <w:p>
      <w:pPr>
        <w:tabs>
          <w:tab w:pos="1631" w:val="left" w:leader="none"/>
        </w:tabs>
        <w:spacing w:line="277" w:lineRule="exact" w:before="0"/>
        <w:ind w:left="219" w:right="0" w:firstLine="0"/>
        <w:jc w:val="left"/>
        <w:rPr>
          <w:sz w:val="23"/>
        </w:rPr>
      </w:pPr>
      <w:r>
        <w:rPr>
          <w:b/>
          <w:sz w:val="23"/>
        </w:rPr>
        <w:t>g</w:t>
        <w:tab/>
      </w:r>
      <w:r>
        <w:rPr>
          <w:sz w:val="23"/>
        </w:rPr>
        <w:t>Gramo</w:t>
      </w:r>
    </w:p>
    <w:p>
      <w:pPr>
        <w:tabs>
          <w:tab w:pos="1631" w:val="left" w:leader="none"/>
        </w:tabs>
        <w:spacing w:before="1"/>
        <w:ind w:left="219" w:right="0" w:firstLine="0"/>
        <w:jc w:val="left"/>
        <w:rPr>
          <w:rFonts w:ascii="Verdana"/>
          <w:sz w:val="22"/>
        </w:rPr>
      </w:pPr>
      <w:r>
        <w:rPr>
          <w:b/>
          <w:sz w:val="23"/>
        </w:rPr>
        <w:t>Gal</w:t>
        <w:tab/>
      </w:r>
      <w:r>
        <w:rPr>
          <w:rFonts w:ascii="Verdana"/>
          <w:sz w:val="22"/>
        </w:rPr>
        <w:t>Galones</w:t>
      </w:r>
    </w:p>
    <w:p>
      <w:pPr>
        <w:tabs>
          <w:tab w:pos="1631" w:val="left" w:leader="none"/>
        </w:tabs>
        <w:spacing w:line="277" w:lineRule="exact" w:before="1"/>
        <w:ind w:left="219" w:right="0" w:firstLine="0"/>
        <w:jc w:val="left"/>
        <w:rPr>
          <w:rFonts w:ascii="Verdana"/>
          <w:sz w:val="22"/>
        </w:rPr>
      </w:pPr>
      <w:r>
        <w:rPr>
          <w:b/>
          <w:sz w:val="23"/>
        </w:rPr>
        <w:t>GW</w:t>
        <w:tab/>
      </w:r>
      <w:r>
        <w:rPr>
          <w:rFonts w:ascii="Verdana"/>
          <w:sz w:val="22"/>
        </w:rPr>
        <w:t>Gigavatio</w:t>
      </w:r>
    </w:p>
    <w:p>
      <w:pPr>
        <w:tabs>
          <w:tab w:pos="1631" w:val="left" w:leader="none"/>
        </w:tabs>
        <w:spacing w:line="277" w:lineRule="exact" w:before="0"/>
        <w:ind w:left="219" w:right="0" w:firstLine="0"/>
        <w:jc w:val="left"/>
        <w:rPr>
          <w:sz w:val="23"/>
        </w:rPr>
      </w:pPr>
      <w:r>
        <w:rPr>
          <w:b/>
          <w:sz w:val="23"/>
        </w:rPr>
        <w:t>GWh</w:t>
        <w:tab/>
      </w:r>
      <w:r>
        <w:rPr>
          <w:sz w:val="23"/>
        </w:rPr>
        <w:t>Gigavatio</w:t>
      </w:r>
      <w:r>
        <w:rPr>
          <w:spacing w:val="-1"/>
          <w:sz w:val="23"/>
        </w:rPr>
        <w:t> </w:t>
      </w:r>
      <w:r>
        <w:rPr>
          <w:sz w:val="23"/>
        </w:rPr>
        <w:t>hora</w:t>
      </w:r>
    </w:p>
    <w:p>
      <w:pPr>
        <w:pStyle w:val="BodyText"/>
        <w:tabs>
          <w:tab w:pos="1631" w:val="left" w:leader="none"/>
        </w:tabs>
        <w:ind w:left="219"/>
      </w:pPr>
      <w:r>
        <w:rPr>
          <w:b/>
        </w:rPr>
        <w:t>ha</w:t>
        <w:tab/>
      </w:r>
      <w:r>
        <w:rPr/>
        <w:t>Hectárea = 10,000 m2 = 16</w:t>
      </w:r>
      <w:r>
        <w:rPr>
          <w:spacing w:val="-3"/>
        </w:rPr>
        <w:t> </w:t>
      </w:r>
      <w:r>
        <w:rPr/>
        <w:t>tareas</w:t>
      </w:r>
    </w:p>
    <w:p>
      <w:pPr>
        <w:tabs>
          <w:tab w:pos="1631" w:val="left" w:leader="none"/>
        </w:tabs>
        <w:spacing w:line="277" w:lineRule="exact" w:before="1"/>
        <w:ind w:left="219" w:right="0" w:firstLine="0"/>
        <w:jc w:val="left"/>
        <w:rPr>
          <w:sz w:val="23"/>
        </w:rPr>
      </w:pPr>
      <w:r>
        <w:rPr>
          <w:b/>
          <w:sz w:val="23"/>
        </w:rPr>
        <w:t>KBbl</w:t>
        <w:tab/>
      </w:r>
      <w:r>
        <w:rPr>
          <w:sz w:val="23"/>
        </w:rPr>
        <w:t>Miles de barriles</w:t>
      </w:r>
    </w:p>
    <w:p>
      <w:pPr>
        <w:tabs>
          <w:tab w:pos="1631" w:val="left" w:leader="none"/>
        </w:tabs>
        <w:spacing w:line="277" w:lineRule="exact" w:before="0"/>
        <w:ind w:left="219" w:right="0" w:firstLine="0"/>
        <w:jc w:val="left"/>
        <w:rPr>
          <w:sz w:val="23"/>
        </w:rPr>
      </w:pPr>
      <w:r>
        <w:rPr>
          <w:b/>
          <w:sz w:val="23"/>
        </w:rPr>
        <w:t>KJ</w:t>
        <w:tab/>
      </w:r>
      <w:r>
        <w:rPr>
          <w:sz w:val="23"/>
        </w:rPr>
        <w:t>Kilo Joules</w:t>
      </w:r>
    </w:p>
    <w:p>
      <w:pPr>
        <w:pStyle w:val="BodyText"/>
        <w:tabs>
          <w:tab w:pos="1631" w:val="left" w:leader="none"/>
        </w:tabs>
        <w:spacing w:before="1"/>
        <w:ind w:left="219"/>
      </w:pPr>
      <w:r>
        <w:rPr>
          <w:b/>
        </w:rPr>
        <w:t>KTep</w:t>
        <w:tab/>
      </w:r>
      <w:r>
        <w:rPr/>
        <w:t>Miles de toneladas de petróleo equivalente</w:t>
      </w:r>
    </w:p>
    <w:p>
      <w:pPr>
        <w:tabs>
          <w:tab w:pos="1631" w:val="left" w:leader="none"/>
        </w:tabs>
        <w:spacing w:line="277" w:lineRule="exact" w:before="1"/>
        <w:ind w:left="219" w:right="0" w:firstLine="0"/>
        <w:jc w:val="left"/>
        <w:rPr>
          <w:sz w:val="23"/>
        </w:rPr>
      </w:pPr>
      <w:r>
        <w:rPr>
          <w:b/>
          <w:sz w:val="23"/>
        </w:rPr>
        <w:t>Kg</w:t>
        <w:tab/>
      </w:r>
      <w:r>
        <w:rPr>
          <w:sz w:val="23"/>
        </w:rPr>
        <w:t>Kilogramos</w:t>
      </w:r>
    </w:p>
    <w:p>
      <w:pPr>
        <w:tabs>
          <w:tab w:pos="1631" w:val="left" w:leader="none"/>
        </w:tabs>
        <w:spacing w:line="277" w:lineRule="exact" w:before="0"/>
        <w:ind w:left="219" w:right="0" w:firstLine="0"/>
        <w:jc w:val="left"/>
        <w:rPr>
          <w:sz w:val="23"/>
        </w:rPr>
      </w:pPr>
      <w:r>
        <w:rPr>
          <w:b/>
          <w:sz w:val="23"/>
        </w:rPr>
        <w:t>KW</w:t>
        <w:tab/>
      </w:r>
      <w:r>
        <w:rPr>
          <w:sz w:val="23"/>
        </w:rPr>
        <w:t>Kilovatio</w:t>
      </w:r>
    </w:p>
    <w:p>
      <w:pPr>
        <w:tabs>
          <w:tab w:pos="1631" w:val="left" w:leader="none"/>
        </w:tabs>
        <w:spacing w:before="0"/>
        <w:ind w:left="219" w:right="0" w:firstLine="0"/>
        <w:jc w:val="left"/>
        <w:rPr>
          <w:sz w:val="23"/>
        </w:rPr>
      </w:pPr>
      <w:r>
        <w:rPr>
          <w:b/>
          <w:sz w:val="23"/>
        </w:rPr>
        <w:t>KWh</w:t>
        <w:tab/>
      </w:r>
      <w:r>
        <w:rPr>
          <w:sz w:val="23"/>
        </w:rPr>
        <w:t>Kilovatio</w:t>
      </w:r>
      <w:r>
        <w:rPr>
          <w:spacing w:val="-1"/>
          <w:sz w:val="23"/>
        </w:rPr>
        <w:t> </w:t>
      </w:r>
      <w:r>
        <w:rPr>
          <w:sz w:val="23"/>
        </w:rPr>
        <w:t>hora</w:t>
      </w:r>
    </w:p>
    <w:p>
      <w:pPr>
        <w:pStyle w:val="BodyText"/>
        <w:tabs>
          <w:tab w:pos="1631" w:val="left" w:leader="none"/>
        </w:tabs>
        <w:spacing w:line="277" w:lineRule="exact" w:before="1"/>
        <w:ind w:left="219"/>
      </w:pPr>
      <w:r>
        <w:rPr>
          <w:b/>
        </w:rPr>
        <w:t>MBbl</w:t>
        <w:tab/>
      </w:r>
      <w:r>
        <w:rPr/>
        <w:t>Millones de barriles</w:t>
      </w:r>
    </w:p>
    <w:p>
      <w:pPr>
        <w:tabs>
          <w:tab w:pos="1631" w:val="left" w:leader="none"/>
        </w:tabs>
        <w:spacing w:line="277" w:lineRule="exact" w:before="0"/>
        <w:ind w:left="219" w:right="0" w:firstLine="0"/>
        <w:jc w:val="left"/>
        <w:rPr>
          <w:sz w:val="23"/>
        </w:rPr>
      </w:pPr>
      <w:r>
        <w:rPr>
          <w:b/>
          <w:sz w:val="23"/>
        </w:rPr>
        <w:t>MW</w:t>
        <w:tab/>
      </w:r>
      <w:r>
        <w:rPr>
          <w:sz w:val="23"/>
        </w:rPr>
        <w:t>Megavatio</w:t>
      </w:r>
    </w:p>
    <w:p>
      <w:pPr>
        <w:tabs>
          <w:tab w:pos="1631" w:val="left" w:leader="none"/>
        </w:tabs>
        <w:spacing w:before="1"/>
        <w:ind w:left="219" w:right="0" w:firstLine="0"/>
        <w:jc w:val="left"/>
        <w:rPr>
          <w:sz w:val="23"/>
        </w:rPr>
      </w:pPr>
      <w:r>
        <w:rPr>
          <w:b/>
          <w:sz w:val="23"/>
        </w:rPr>
        <w:t>MWh</w:t>
        <w:tab/>
      </w:r>
      <w:r>
        <w:rPr>
          <w:sz w:val="23"/>
        </w:rPr>
        <w:t>Megavatio</w:t>
      </w:r>
      <w:r>
        <w:rPr>
          <w:spacing w:val="-1"/>
          <w:sz w:val="23"/>
        </w:rPr>
        <w:t> </w:t>
      </w:r>
      <w:r>
        <w:rPr>
          <w:sz w:val="23"/>
        </w:rPr>
        <w:t>hora</w:t>
      </w:r>
    </w:p>
    <w:p>
      <w:pPr>
        <w:tabs>
          <w:tab w:pos="1631" w:val="left" w:leader="none"/>
        </w:tabs>
        <w:spacing w:line="277" w:lineRule="exact" w:before="1"/>
        <w:ind w:left="219" w:right="0" w:firstLine="0"/>
        <w:jc w:val="left"/>
        <w:rPr>
          <w:sz w:val="23"/>
        </w:rPr>
      </w:pPr>
      <w:r>
        <w:rPr>
          <w:b/>
          <w:sz w:val="23"/>
        </w:rPr>
        <w:t>lb corta</w:t>
        <w:tab/>
      </w:r>
      <w:r>
        <w:rPr>
          <w:sz w:val="23"/>
        </w:rPr>
        <w:t>454.5</w:t>
      </w:r>
      <w:r>
        <w:rPr>
          <w:spacing w:val="-1"/>
          <w:sz w:val="23"/>
        </w:rPr>
        <w:t> </w:t>
      </w:r>
      <w:r>
        <w:rPr>
          <w:sz w:val="23"/>
        </w:rPr>
        <w:t>g</w:t>
      </w:r>
    </w:p>
    <w:p>
      <w:pPr>
        <w:tabs>
          <w:tab w:pos="1631" w:val="left" w:leader="none"/>
        </w:tabs>
        <w:spacing w:line="277" w:lineRule="exact" w:before="0"/>
        <w:ind w:left="219" w:right="0" w:firstLine="0"/>
        <w:jc w:val="left"/>
        <w:rPr>
          <w:sz w:val="23"/>
        </w:rPr>
      </w:pPr>
      <w:r>
        <w:rPr>
          <w:b/>
          <w:sz w:val="23"/>
        </w:rPr>
        <w:t>MW</w:t>
        <w:tab/>
      </w:r>
      <w:r>
        <w:rPr>
          <w:sz w:val="23"/>
        </w:rPr>
        <w:t>Megavatio</w:t>
      </w:r>
    </w:p>
    <w:p>
      <w:pPr>
        <w:pStyle w:val="BodyText"/>
        <w:tabs>
          <w:tab w:pos="1631" w:val="left" w:leader="none"/>
        </w:tabs>
        <w:spacing w:before="1"/>
        <w:ind w:left="219"/>
      </w:pPr>
      <w:r>
        <w:rPr>
          <w:b/>
        </w:rPr>
        <w:t>T</w:t>
        <w:tab/>
      </w:r>
      <w:r>
        <w:rPr/>
        <w:t>Tonelada métrica (1000</w:t>
      </w:r>
      <w:r>
        <w:rPr>
          <w:spacing w:val="-4"/>
        </w:rPr>
        <w:t> </w:t>
      </w:r>
      <w:r>
        <w:rPr/>
        <w:t>kg)</w:t>
      </w:r>
    </w:p>
    <w:p>
      <w:pPr>
        <w:tabs>
          <w:tab w:pos="1631" w:val="left" w:leader="none"/>
        </w:tabs>
        <w:spacing w:line="277" w:lineRule="exact" w:before="0"/>
        <w:ind w:left="219" w:right="0" w:firstLine="0"/>
        <w:jc w:val="left"/>
        <w:rPr>
          <w:sz w:val="23"/>
        </w:rPr>
      </w:pPr>
      <w:r>
        <w:rPr>
          <w:b/>
          <w:sz w:val="23"/>
        </w:rPr>
        <w:t>tarea</w:t>
        <w:tab/>
      </w:r>
      <w:r>
        <w:rPr>
          <w:sz w:val="23"/>
        </w:rPr>
        <w:t>Tarea=625</w:t>
      </w:r>
      <w:r>
        <w:rPr>
          <w:spacing w:val="-2"/>
          <w:sz w:val="23"/>
        </w:rPr>
        <w:t> </w:t>
      </w:r>
      <w:r>
        <w:rPr>
          <w:sz w:val="23"/>
        </w:rPr>
        <w:t>m2</w:t>
      </w:r>
    </w:p>
    <w:p>
      <w:pPr>
        <w:pStyle w:val="BodyText"/>
        <w:tabs>
          <w:tab w:pos="1631" w:val="left" w:leader="none"/>
        </w:tabs>
        <w:spacing w:line="277" w:lineRule="exact"/>
        <w:ind w:left="219"/>
      </w:pPr>
      <w:r>
        <w:rPr>
          <w:b/>
        </w:rPr>
        <w:t>TEP</w:t>
        <w:tab/>
      </w:r>
      <w:r>
        <w:rPr/>
        <w:t>Tonelada equivalente de petróleo</w:t>
      </w:r>
    </w:p>
    <w:p>
      <w:pPr>
        <w:pStyle w:val="BodyText"/>
        <w:tabs>
          <w:tab w:pos="1631" w:val="left" w:leader="none"/>
        </w:tabs>
        <w:spacing w:before="1"/>
        <w:ind w:left="219"/>
      </w:pPr>
      <w:r>
        <w:rPr>
          <w:b/>
        </w:rPr>
        <w:t>qq</w:t>
        <w:tab/>
      </w:r>
      <w:r>
        <w:rPr/>
        <w:t>Quintal = 100 lb cortas = 45.45</w:t>
      </w:r>
      <w:r>
        <w:rPr>
          <w:spacing w:val="-4"/>
        </w:rPr>
        <w:t> </w:t>
      </w:r>
      <w:r>
        <w:rPr/>
        <w:t>kg</w:t>
      </w:r>
    </w:p>
    <w:p>
      <w:pPr>
        <w:pStyle w:val="BodyText"/>
        <w:tabs>
          <w:tab w:pos="1631" w:val="left" w:leader="none"/>
        </w:tabs>
        <w:spacing w:line="277" w:lineRule="exact" w:before="1"/>
        <w:ind w:left="219"/>
      </w:pPr>
      <w:r>
        <w:rPr>
          <w:b/>
        </w:rPr>
        <w:t>W</w:t>
        <w:tab/>
      </w:r>
      <w:r>
        <w:rPr/>
        <w:t>Watt</w:t>
      </w:r>
      <w:r>
        <w:rPr>
          <w:spacing w:val="-1"/>
        </w:rPr>
        <w:t> </w:t>
      </w:r>
      <w:r>
        <w:rPr/>
        <w:t>(vatio)</w:t>
      </w:r>
    </w:p>
    <w:p>
      <w:pPr>
        <w:pStyle w:val="BodyText"/>
        <w:tabs>
          <w:tab w:pos="1631" w:val="left" w:leader="none"/>
        </w:tabs>
        <w:spacing w:line="277" w:lineRule="exact"/>
        <w:ind w:left="219"/>
      </w:pPr>
      <w:r>
        <w:rPr>
          <w:b/>
        </w:rPr>
        <w:t>Wp</w:t>
        <w:tab/>
      </w:r>
      <w:r>
        <w:rPr/>
        <w:t>Vatio pico (en sistemas solares</w:t>
      </w:r>
      <w:r>
        <w:rPr>
          <w:spacing w:val="-2"/>
        </w:rPr>
        <w:t> </w:t>
      </w:r>
      <w:r>
        <w:rPr/>
        <w:t>fotovoltaicos)</w:t>
      </w:r>
    </w:p>
    <w:p>
      <w:pPr>
        <w:spacing w:after="0" w:line="277" w:lineRule="exact"/>
        <w:sectPr>
          <w:pgSz w:w="12240" w:h="15840"/>
          <w:pgMar w:header="718" w:footer="954" w:top="1500" w:bottom="1140" w:left="1220" w:right="1220"/>
        </w:sectPr>
      </w:pPr>
    </w:p>
    <w:p>
      <w:pPr>
        <w:pStyle w:val="Heading1"/>
        <w:spacing w:before="112"/>
        <w:ind w:left="523"/>
      </w:pPr>
      <w:r>
        <w:rPr/>
        <w:t>ANTECEDENTES</w:t>
      </w:r>
    </w:p>
    <w:p>
      <w:pPr>
        <w:pStyle w:val="BodyText"/>
        <w:spacing w:before="1"/>
        <w:rPr>
          <w:rFonts w:ascii="Verdana"/>
          <w:b/>
          <w:sz w:val="28"/>
        </w:rPr>
      </w:pPr>
    </w:p>
    <w:p>
      <w:pPr>
        <w:pStyle w:val="Heading5"/>
        <w:ind w:left="519" w:right="523" w:firstLine="0"/>
        <w:jc w:val="center"/>
        <w:rPr>
          <w:rFonts w:ascii="Tahoma"/>
        </w:rPr>
      </w:pPr>
      <w:r>
        <w:rPr>
          <w:rFonts w:ascii="Tahoma"/>
        </w:rPr>
        <w:t>ALCANCE DEL TRABAJO Y ACUERDOS CON LA CNE</w:t>
      </w:r>
    </w:p>
    <w:p>
      <w:pPr>
        <w:pStyle w:val="BodyText"/>
        <w:spacing w:before="7"/>
        <w:rPr>
          <w:b/>
          <w:sz w:val="24"/>
        </w:rPr>
      </w:pPr>
    </w:p>
    <w:p>
      <w:pPr>
        <w:spacing w:line="232" w:lineRule="auto" w:before="0"/>
        <w:ind w:left="219" w:right="214" w:firstLine="0"/>
        <w:jc w:val="both"/>
        <w:rPr>
          <w:i/>
          <w:sz w:val="24"/>
        </w:rPr>
      </w:pPr>
      <w:r>
        <w:rPr>
          <w:sz w:val="23"/>
        </w:rPr>
        <w:t>Bajo los nuevos Términos de Referencia firmados en la ADENDA No. 1 de febrero de 2009 y los acuerdos alcanzados en la visita realizada a la CNE por el consultor en la semana del 17 al</w:t>
      </w:r>
      <w:r>
        <w:rPr>
          <w:spacing w:val="-2"/>
          <w:sz w:val="23"/>
        </w:rPr>
        <w:t> </w:t>
      </w:r>
      <w:r>
        <w:rPr>
          <w:sz w:val="23"/>
        </w:rPr>
        <w:t>23</w:t>
      </w:r>
      <w:r>
        <w:rPr>
          <w:spacing w:val="-3"/>
          <w:sz w:val="23"/>
        </w:rPr>
        <w:t> </w:t>
      </w:r>
      <w:r>
        <w:rPr>
          <w:sz w:val="23"/>
        </w:rPr>
        <w:t>de</w:t>
      </w:r>
      <w:r>
        <w:rPr>
          <w:spacing w:val="-1"/>
          <w:sz w:val="23"/>
        </w:rPr>
        <w:t> </w:t>
      </w:r>
      <w:r>
        <w:rPr>
          <w:sz w:val="23"/>
        </w:rPr>
        <w:t>enero</w:t>
      </w:r>
      <w:r>
        <w:rPr>
          <w:spacing w:val="-1"/>
          <w:sz w:val="23"/>
        </w:rPr>
        <w:t> </w:t>
      </w:r>
      <w:r>
        <w:rPr>
          <w:sz w:val="23"/>
        </w:rPr>
        <w:t>de</w:t>
      </w:r>
      <w:r>
        <w:rPr>
          <w:spacing w:val="-1"/>
          <w:sz w:val="23"/>
        </w:rPr>
        <w:t> </w:t>
      </w:r>
      <w:r>
        <w:rPr>
          <w:sz w:val="23"/>
        </w:rPr>
        <w:t>2010,</w:t>
      </w:r>
      <w:r>
        <w:rPr>
          <w:spacing w:val="-3"/>
          <w:sz w:val="23"/>
        </w:rPr>
        <w:t> </w:t>
      </w:r>
      <w:r>
        <w:rPr>
          <w:i/>
          <w:sz w:val="24"/>
        </w:rPr>
        <w:t>el</w:t>
      </w:r>
      <w:r>
        <w:rPr>
          <w:i/>
          <w:spacing w:val="-6"/>
          <w:sz w:val="24"/>
        </w:rPr>
        <w:t> </w:t>
      </w:r>
      <w:r>
        <w:rPr>
          <w:i/>
          <w:sz w:val="24"/>
        </w:rPr>
        <w:t>enfoque</w:t>
      </w:r>
      <w:r>
        <w:rPr>
          <w:i/>
          <w:spacing w:val="-7"/>
          <w:sz w:val="24"/>
        </w:rPr>
        <w:t> </w:t>
      </w:r>
      <w:r>
        <w:rPr>
          <w:i/>
          <w:sz w:val="24"/>
        </w:rPr>
        <w:t>del</w:t>
      </w:r>
      <w:r>
        <w:rPr>
          <w:i/>
          <w:spacing w:val="-6"/>
          <w:sz w:val="24"/>
        </w:rPr>
        <w:t> </w:t>
      </w:r>
      <w:r>
        <w:rPr>
          <w:i/>
          <w:sz w:val="24"/>
        </w:rPr>
        <w:t>Plan</w:t>
      </w:r>
      <w:r>
        <w:rPr>
          <w:i/>
          <w:spacing w:val="-6"/>
          <w:sz w:val="24"/>
        </w:rPr>
        <w:t> </w:t>
      </w:r>
      <w:r>
        <w:rPr>
          <w:i/>
          <w:sz w:val="24"/>
        </w:rPr>
        <w:t>Energético</w:t>
      </w:r>
      <w:r>
        <w:rPr>
          <w:i/>
          <w:spacing w:val="-5"/>
          <w:sz w:val="24"/>
        </w:rPr>
        <w:t> </w:t>
      </w:r>
      <w:r>
        <w:rPr>
          <w:i/>
          <w:sz w:val="24"/>
        </w:rPr>
        <w:t>Nacional</w:t>
      </w:r>
      <w:r>
        <w:rPr>
          <w:i/>
          <w:spacing w:val="-7"/>
          <w:sz w:val="24"/>
        </w:rPr>
        <w:t> </w:t>
      </w:r>
      <w:r>
        <w:rPr>
          <w:i/>
          <w:sz w:val="24"/>
        </w:rPr>
        <w:t>(PEN)</w:t>
      </w:r>
      <w:r>
        <w:rPr>
          <w:i/>
          <w:spacing w:val="-4"/>
          <w:sz w:val="24"/>
        </w:rPr>
        <w:t> </w:t>
      </w:r>
      <w:r>
        <w:rPr>
          <w:i/>
          <w:sz w:val="24"/>
        </w:rPr>
        <w:t>será</w:t>
      </w:r>
      <w:r>
        <w:rPr>
          <w:i/>
          <w:spacing w:val="-7"/>
          <w:sz w:val="24"/>
        </w:rPr>
        <w:t> </w:t>
      </w:r>
      <w:r>
        <w:rPr>
          <w:i/>
          <w:sz w:val="24"/>
        </w:rPr>
        <w:t>de</w:t>
      </w:r>
      <w:r>
        <w:rPr>
          <w:i/>
          <w:spacing w:val="-6"/>
          <w:sz w:val="24"/>
        </w:rPr>
        <w:t> </w:t>
      </w:r>
      <w:r>
        <w:rPr>
          <w:i/>
          <w:sz w:val="24"/>
        </w:rPr>
        <w:t>naturaleza conceptual,</w:t>
      </w:r>
      <w:r>
        <w:rPr>
          <w:i/>
          <w:spacing w:val="-28"/>
          <w:sz w:val="24"/>
        </w:rPr>
        <w:t> </w:t>
      </w:r>
      <w:r>
        <w:rPr>
          <w:i/>
          <w:sz w:val="24"/>
        </w:rPr>
        <w:t>enfatizando</w:t>
      </w:r>
      <w:r>
        <w:rPr>
          <w:i/>
          <w:spacing w:val="-28"/>
          <w:sz w:val="24"/>
        </w:rPr>
        <w:t> </w:t>
      </w:r>
      <w:r>
        <w:rPr>
          <w:i/>
          <w:sz w:val="24"/>
        </w:rPr>
        <w:t>en</w:t>
      </w:r>
      <w:r>
        <w:rPr>
          <w:i/>
          <w:spacing w:val="-26"/>
          <w:sz w:val="24"/>
        </w:rPr>
        <w:t> </w:t>
      </w:r>
      <w:r>
        <w:rPr>
          <w:i/>
          <w:sz w:val="24"/>
        </w:rPr>
        <w:t>las</w:t>
      </w:r>
      <w:r>
        <w:rPr>
          <w:i/>
          <w:spacing w:val="-26"/>
          <w:sz w:val="24"/>
        </w:rPr>
        <w:t> </w:t>
      </w:r>
      <w:r>
        <w:rPr>
          <w:i/>
          <w:sz w:val="24"/>
        </w:rPr>
        <w:t>líneas</w:t>
      </w:r>
      <w:r>
        <w:rPr>
          <w:i/>
          <w:spacing w:val="-26"/>
          <w:sz w:val="24"/>
        </w:rPr>
        <w:t> </w:t>
      </w:r>
      <w:r>
        <w:rPr>
          <w:i/>
          <w:sz w:val="24"/>
        </w:rPr>
        <w:t>estratégicas</w:t>
      </w:r>
      <w:r>
        <w:rPr>
          <w:i/>
          <w:spacing w:val="-27"/>
          <w:sz w:val="24"/>
        </w:rPr>
        <w:t> </w:t>
      </w:r>
      <w:r>
        <w:rPr>
          <w:i/>
          <w:sz w:val="24"/>
        </w:rPr>
        <w:t>fundamentales</w:t>
      </w:r>
      <w:r>
        <w:rPr>
          <w:i/>
          <w:spacing w:val="-26"/>
          <w:sz w:val="24"/>
        </w:rPr>
        <w:t> </w:t>
      </w:r>
      <w:r>
        <w:rPr>
          <w:i/>
          <w:sz w:val="24"/>
        </w:rPr>
        <w:t>que</w:t>
      </w:r>
      <w:r>
        <w:rPr>
          <w:i/>
          <w:spacing w:val="-28"/>
          <w:sz w:val="24"/>
        </w:rPr>
        <w:t> </w:t>
      </w:r>
      <w:r>
        <w:rPr>
          <w:i/>
          <w:sz w:val="24"/>
        </w:rPr>
        <w:t>deben</w:t>
      </w:r>
      <w:r>
        <w:rPr>
          <w:i/>
          <w:spacing w:val="-26"/>
          <w:sz w:val="24"/>
        </w:rPr>
        <w:t> </w:t>
      </w:r>
      <w:r>
        <w:rPr>
          <w:i/>
          <w:sz w:val="24"/>
        </w:rPr>
        <w:t>guiar</w:t>
      </w:r>
      <w:r>
        <w:rPr>
          <w:i/>
          <w:spacing w:val="-26"/>
          <w:sz w:val="24"/>
        </w:rPr>
        <w:t> </w:t>
      </w:r>
      <w:r>
        <w:rPr>
          <w:i/>
          <w:sz w:val="24"/>
        </w:rPr>
        <w:t>al</w:t>
      </w:r>
      <w:r>
        <w:rPr>
          <w:i/>
          <w:spacing w:val="-27"/>
          <w:sz w:val="24"/>
        </w:rPr>
        <w:t> </w:t>
      </w:r>
      <w:r>
        <w:rPr>
          <w:i/>
          <w:sz w:val="24"/>
        </w:rPr>
        <w:t>sector energético en los próximos 15 años y que serán las bases para definir y encauzar las políticas del Estado Dominicano y establecer el papel sector privado y las señales para incentivar su</w:t>
      </w:r>
      <w:r>
        <w:rPr>
          <w:i/>
          <w:spacing w:val="-7"/>
          <w:sz w:val="24"/>
        </w:rPr>
        <w:t> </w:t>
      </w:r>
      <w:r>
        <w:rPr>
          <w:i/>
          <w:sz w:val="24"/>
        </w:rPr>
        <w:t>participación.</w:t>
      </w:r>
    </w:p>
    <w:p>
      <w:pPr>
        <w:pStyle w:val="BodyText"/>
        <w:spacing w:before="6"/>
        <w:rPr>
          <w:i/>
          <w:sz w:val="22"/>
        </w:rPr>
      </w:pPr>
    </w:p>
    <w:p>
      <w:pPr>
        <w:pStyle w:val="BodyText"/>
        <w:ind w:left="219"/>
      </w:pPr>
      <w:r>
        <w:rPr/>
        <w:t>El cronograma aprobado por el Presidente de la CNE y acordado con el consultor para la elaboración del PEN 2010-2025 es el siguiente:</w:t>
      </w:r>
    </w:p>
    <w:p>
      <w:pPr>
        <w:pStyle w:val="BodyText"/>
      </w:pPr>
    </w:p>
    <w:p>
      <w:pPr>
        <w:pStyle w:val="BodyText"/>
        <w:ind w:left="219" w:right="4558" w:hanging="1"/>
      </w:pPr>
      <w:r>
        <w:rPr/>
        <w:t>Versión preliminar (borrador): Marzo 15 de 2010. Comentarios de la CNE: Marzo 29 de 2010.</w:t>
      </w:r>
    </w:p>
    <w:p>
      <w:pPr>
        <w:pStyle w:val="BodyText"/>
        <w:spacing w:line="277" w:lineRule="exact"/>
        <w:ind w:left="219"/>
      </w:pPr>
      <w:r>
        <w:rPr/>
        <w:t>Comentarios externos: Abril 12 de 2010.</w:t>
      </w:r>
    </w:p>
    <w:p>
      <w:pPr>
        <w:pStyle w:val="BodyText"/>
        <w:spacing w:before="1"/>
        <w:ind w:left="219"/>
      </w:pPr>
      <w:r>
        <w:rPr/>
        <w:t>Versión final: Mayo 15 de 2010.</w:t>
      </w:r>
    </w:p>
    <w:p>
      <w:pPr>
        <w:pStyle w:val="BodyText"/>
        <w:spacing w:before="11"/>
        <w:rPr>
          <w:sz w:val="22"/>
        </w:rPr>
      </w:pPr>
    </w:p>
    <w:p>
      <w:pPr>
        <w:pStyle w:val="BodyText"/>
        <w:ind w:left="219"/>
      </w:pPr>
      <w:r>
        <w:rPr/>
        <w:t>Los documentos que soportan el diseño del PEN y que sirven de base para establecer las líneas estratégicas son los siguientes:</w:t>
      </w:r>
    </w:p>
    <w:p>
      <w:pPr>
        <w:pStyle w:val="BodyText"/>
      </w:pPr>
    </w:p>
    <w:p>
      <w:pPr>
        <w:pStyle w:val="ListParagraph"/>
        <w:numPr>
          <w:ilvl w:val="0"/>
          <w:numId w:val="6"/>
        </w:numPr>
        <w:tabs>
          <w:tab w:pos="647" w:val="left" w:leader="none"/>
          <w:tab w:pos="648" w:val="left" w:leader="none"/>
          <w:tab w:pos="1712" w:val="left" w:leader="none"/>
          <w:tab w:pos="3447" w:val="left" w:leader="none"/>
          <w:tab w:pos="4772" w:val="left" w:leader="none"/>
          <w:tab w:pos="5243" w:val="left" w:leader="none"/>
          <w:tab w:pos="5632" w:val="left" w:leader="none"/>
          <w:tab w:pos="6225" w:val="left" w:leader="none"/>
          <w:tab w:pos="7014" w:val="left" w:leader="none"/>
          <w:tab w:pos="7568" w:val="left" w:leader="none"/>
          <w:tab w:pos="8430" w:val="left" w:leader="none"/>
        </w:tabs>
        <w:spacing w:line="240" w:lineRule="auto" w:before="0" w:after="0"/>
        <w:ind w:left="647" w:right="216" w:hanging="428"/>
        <w:jc w:val="left"/>
        <w:rPr>
          <w:sz w:val="23"/>
        </w:rPr>
      </w:pPr>
      <w:r>
        <w:rPr>
          <w:sz w:val="23"/>
        </w:rPr>
        <w:t>Estudios</w:t>
        <w:tab/>
        <w:t>Subsectoriales,</w:t>
        <w:tab/>
        <w:t>elaborados</w:t>
        <w:tab/>
        <w:t>en</w:t>
        <w:tab/>
        <w:t>el</w:t>
        <w:tab/>
        <w:t>año</w:t>
        <w:tab/>
        <w:t>2007,</w:t>
        <w:tab/>
        <w:t>por</w:t>
        <w:tab/>
        <w:t>cuatro</w:t>
        <w:tab/>
      </w:r>
      <w:r>
        <w:rPr>
          <w:spacing w:val="-1"/>
          <w:sz w:val="23"/>
        </w:rPr>
        <w:t>consultores </w:t>
      </w:r>
      <w:r>
        <w:rPr>
          <w:sz w:val="23"/>
        </w:rPr>
        <w:t>independientes:</w:t>
      </w:r>
    </w:p>
    <w:p>
      <w:pPr>
        <w:pStyle w:val="ListParagraph"/>
        <w:numPr>
          <w:ilvl w:val="1"/>
          <w:numId w:val="6"/>
        </w:numPr>
        <w:tabs>
          <w:tab w:pos="1660" w:val="left" w:leader="none"/>
        </w:tabs>
        <w:spacing w:line="240" w:lineRule="auto" w:before="2" w:after="0"/>
        <w:ind w:left="1659" w:right="217" w:hanging="360"/>
        <w:jc w:val="both"/>
        <w:rPr>
          <w:sz w:val="23"/>
        </w:rPr>
      </w:pPr>
      <w:r>
        <w:rPr>
          <w:b/>
          <w:sz w:val="23"/>
        </w:rPr>
        <w:t>DIAGNÓSTICO Y DEFINICIÓN DE LÍNEAS ESTRATÉGICAS DEL SUB- SECTOR ELÉCTRICO</w:t>
      </w:r>
      <w:r>
        <w:rPr>
          <w:sz w:val="23"/>
        </w:rPr>
        <w:t>, Manuel Ignacio Dussan, Enero de</w:t>
      </w:r>
      <w:r>
        <w:rPr>
          <w:spacing w:val="-6"/>
          <w:sz w:val="23"/>
        </w:rPr>
        <w:t> </w:t>
      </w:r>
      <w:r>
        <w:rPr>
          <w:sz w:val="23"/>
        </w:rPr>
        <w:t>2008.</w:t>
      </w:r>
    </w:p>
    <w:p>
      <w:pPr>
        <w:pStyle w:val="ListParagraph"/>
        <w:numPr>
          <w:ilvl w:val="1"/>
          <w:numId w:val="6"/>
        </w:numPr>
        <w:tabs>
          <w:tab w:pos="1660" w:val="left" w:leader="none"/>
        </w:tabs>
        <w:spacing w:line="240" w:lineRule="auto" w:before="0" w:after="0"/>
        <w:ind w:left="1659" w:right="215" w:hanging="360"/>
        <w:jc w:val="both"/>
        <w:rPr>
          <w:sz w:val="23"/>
        </w:rPr>
      </w:pPr>
      <w:r>
        <w:rPr>
          <w:b/>
          <w:sz w:val="23"/>
        </w:rPr>
        <w:t>DIAGNÓSTICO Y DEFINICIÓN DE LÍNEAS ESTRATÉGICAS SOBRE EL USO RACIONAL DE ENERGÍA (URE) EN REPÚBLICA DOMINICANA</w:t>
      </w:r>
      <w:r>
        <w:rPr>
          <w:sz w:val="23"/>
        </w:rPr>
        <w:t>, Odón de Buen R, Enero de</w:t>
      </w:r>
      <w:r>
        <w:rPr>
          <w:spacing w:val="-2"/>
          <w:sz w:val="23"/>
        </w:rPr>
        <w:t> </w:t>
      </w:r>
      <w:r>
        <w:rPr>
          <w:sz w:val="23"/>
        </w:rPr>
        <w:t>2008.</w:t>
      </w:r>
    </w:p>
    <w:p>
      <w:pPr>
        <w:pStyle w:val="ListParagraph"/>
        <w:numPr>
          <w:ilvl w:val="1"/>
          <w:numId w:val="6"/>
        </w:numPr>
        <w:tabs>
          <w:tab w:pos="1660" w:val="left" w:leader="none"/>
        </w:tabs>
        <w:spacing w:line="240" w:lineRule="auto" w:before="0" w:after="0"/>
        <w:ind w:left="1659" w:right="217" w:hanging="360"/>
        <w:jc w:val="both"/>
        <w:rPr>
          <w:sz w:val="23"/>
        </w:rPr>
      </w:pPr>
      <w:r>
        <w:rPr>
          <w:b/>
          <w:sz w:val="23"/>
        </w:rPr>
        <w:t>DIAGNÓSTICO SECTOR HIDROCARBUROS</w:t>
      </w:r>
      <w:r>
        <w:rPr>
          <w:sz w:val="23"/>
        </w:rPr>
        <w:t>, Jorge E. Lapeña, Enero de 2008.</w:t>
      </w:r>
    </w:p>
    <w:p>
      <w:pPr>
        <w:pStyle w:val="ListParagraph"/>
        <w:numPr>
          <w:ilvl w:val="1"/>
          <w:numId w:val="6"/>
        </w:numPr>
        <w:tabs>
          <w:tab w:pos="1660" w:val="left" w:leader="none"/>
        </w:tabs>
        <w:spacing w:line="240" w:lineRule="auto" w:before="0" w:after="0"/>
        <w:ind w:left="1659" w:right="215" w:hanging="360"/>
        <w:jc w:val="both"/>
        <w:rPr>
          <w:sz w:val="23"/>
        </w:rPr>
      </w:pPr>
      <w:r>
        <w:rPr>
          <w:b/>
          <w:sz w:val="23"/>
        </w:rPr>
        <w:t>DIAGNÓSTICO Y DEFINICIÓN DE LÍNEAS ESTRATÉGICAS DEL SUBSECTOR FUENTES DE ENERGÍA NUEVAS Y RENOVABLES (FER), </w:t>
      </w:r>
      <w:r>
        <w:rPr>
          <w:sz w:val="23"/>
        </w:rPr>
        <w:t>Humberto Rodríguez M, Enero de</w:t>
      </w:r>
      <w:r>
        <w:rPr>
          <w:spacing w:val="-4"/>
          <w:sz w:val="23"/>
        </w:rPr>
        <w:t> </w:t>
      </w:r>
      <w:r>
        <w:rPr>
          <w:sz w:val="23"/>
        </w:rPr>
        <w:t>2008.</w:t>
      </w:r>
    </w:p>
    <w:p>
      <w:pPr>
        <w:pStyle w:val="BodyText"/>
        <w:spacing w:before="10"/>
        <w:rPr>
          <w:sz w:val="22"/>
        </w:rPr>
      </w:pPr>
    </w:p>
    <w:p>
      <w:pPr>
        <w:pStyle w:val="ListParagraph"/>
        <w:numPr>
          <w:ilvl w:val="0"/>
          <w:numId w:val="6"/>
        </w:numPr>
        <w:tabs>
          <w:tab w:pos="647" w:val="left" w:leader="none"/>
          <w:tab w:pos="648" w:val="left" w:leader="none"/>
        </w:tabs>
        <w:spacing w:line="240" w:lineRule="auto" w:before="1" w:after="0"/>
        <w:ind w:left="647" w:right="216" w:hanging="428"/>
        <w:jc w:val="left"/>
        <w:rPr>
          <w:sz w:val="23"/>
        </w:rPr>
      </w:pPr>
      <w:r>
        <w:rPr>
          <w:b/>
          <w:sz w:val="23"/>
        </w:rPr>
        <w:t>INTEGRACIÓN DE LOS ESTUDIOS SUBSECTORIALES</w:t>
      </w:r>
      <w:r>
        <w:rPr>
          <w:sz w:val="23"/>
        </w:rPr>
        <w:t>, elaborado por Félix Betancourt en Julio de</w:t>
      </w:r>
      <w:r>
        <w:rPr>
          <w:spacing w:val="-4"/>
          <w:sz w:val="23"/>
        </w:rPr>
        <w:t> </w:t>
      </w:r>
      <w:r>
        <w:rPr>
          <w:sz w:val="23"/>
        </w:rPr>
        <w:t>2008</w:t>
      </w:r>
      <w:r>
        <w:rPr>
          <w:sz w:val="23"/>
          <w:vertAlign w:val="superscript"/>
        </w:rPr>
        <w:t>1</w:t>
      </w:r>
      <w:r>
        <w:rPr>
          <w:sz w:val="23"/>
          <w:vertAlign w:val="baseline"/>
        </w:rPr>
        <w:t>.</w:t>
      </w:r>
    </w:p>
    <w:p>
      <w:pPr>
        <w:pStyle w:val="BodyText"/>
        <w:rPr>
          <w:sz w:val="20"/>
        </w:rPr>
      </w:pPr>
    </w:p>
    <w:p>
      <w:pPr>
        <w:pStyle w:val="BodyText"/>
        <w:spacing w:before="6"/>
        <w:rPr>
          <w:sz w:val="28"/>
        </w:rPr>
      </w:pPr>
      <w:r>
        <w:rPr/>
        <w:pict>
          <v:rect style="position:absolute;margin-left:72pt;margin-top:19.192619pt;width:143.999997pt;height:.72pt;mso-position-horizontal-relative:page;mso-position-vertical-relative:paragraph;z-index:-15728640;mso-wrap-distance-left:0;mso-wrap-distance-right:0" filled="true" fillcolor="#000000" stroked="false">
            <v:fill type="solid"/>
            <w10:wrap type="topAndBottom"/>
          </v:rect>
        </w:pict>
      </w:r>
    </w:p>
    <w:p>
      <w:pPr>
        <w:pStyle w:val="ListParagraph"/>
        <w:numPr>
          <w:ilvl w:val="0"/>
          <w:numId w:val="7"/>
        </w:numPr>
        <w:tabs>
          <w:tab w:pos="384" w:val="left" w:leader="none"/>
        </w:tabs>
        <w:spacing w:line="242" w:lineRule="auto" w:before="58" w:after="0"/>
        <w:ind w:left="219" w:right="215" w:firstLine="0"/>
        <w:jc w:val="both"/>
        <w:rPr>
          <w:sz w:val="23"/>
        </w:rPr>
      </w:pPr>
      <w:r>
        <w:rPr>
          <w:sz w:val="20"/>
        </w:rPr>
        <w:t>Como trabajo de integración, en este informe no se modificaron los supuestos, ni los análisis realizados ni se alteraron las conclusiones de los estudios subsectoriales. De hecho, en lo fundamental, los supuestos que fueron asumidos en su momento, correspondientes al año 2007, no fueron modificados, excepto por incrementos mayores en el precio del</w:t>
      </w:r>
      <w:r>
        <w:rPr>
          <w:spacing w:val="-4"/>
          <w:sz w:val="20"/>
        </w:rPr>
        <w:t> </w:t>
      </w:r>
      <w:r>
        <w:rPr>
          <w:sz w:val="20"/>
        </w:rPr>
        <w:t>petróleo</w:t>
      </w:r>
      <w:r>
        <w:rPr>
          <w:sz w:val="23"/>
        </w:rPr>
        <w:t>.</w:t>
      </w:r>
    </w:p>
    <w:p>
      <w:pPr>
        <w:spacing w:after="0" w:line="242" w:lineRule="auto"/>
        <w:jc w:val="both"/>
        <w:rPr>
          <w:sz w:val="23"/>
        </w:rPr>
        <w:sectPr>
          <w:pgSz w:w="12240" w:h="15840"/>
          <w:pgMar w:header="718" w:footer="954" w:top="1500" w:bottom="1140" w:left="1220" w:right="1220"/>
        </w:sectPr>
      </w:pPr>
    </w:p>
    <w:p>
      <w:pPr>
        <w:pStyle w:val="BodyText"/>
        <w:spacing w:before="1"/>
        <w:rPr>
          <w:sz w:val="24"/>
        </w:rPr>
      </w:pPr>
    </w:p>
    <w:p>
      <w:pPr>
        <w:pStyle w:val="ListParagraph"/>
        <w:numPr>
          <w:ilvl w:val="0"/>
          <w:numId w:val="6"/>
        </w:numPr>
        <w:tabs>
          <w:tab w:pos="648" w:val="left" w:leader="none"/>
        </w:tabs>
        <w:spacing w:line="240" w:lineRule="auto" w:before="101" w:after="0"/>
        <w:ind w:left="647" w:right="218" w:hanging="428"/>
        <w:jc w:val="both"/>
        <w:rPr>
          <w:sz w:val="23"/>
        </w:rPr>
      </w:pPr>
      <w:r>
        <w:rPr>
          <w:b/>
          <w:sz w:val="23"/>
        </w:rPr>
        <w:t>ESTUDIO PROSPECTIVA DE LA DEMANDA DE ENERGÍA DE REPÚBLICA DOMINICANA</w:t>
      </w:r>
      <w:r>
        <w:rPr>
          <w:sz w:val="23"/>
        </w:rPr>
        <w:t>, Fundación Bariloche, Agosto de</w:t>
      </w:r>
      <w:r>
        <w:rPr>
          <w:spacing w:val="-5"/>
          <w:sz w:val="23"/>
        </w:rPr>
        <w:t> </w:t>
      </w:r>
      <w:r>
        <w:rPr>
          <w:sz w:val="23"/>
        </w:rPr>
        <w:t>2008.</w:t>
      </w:r>
    </w:p>
    <w:p>
      <w:pPr>
        <w:pStyle w:val="BodyText"/>
        <w:spacing w:before="11"/>
        <w:rPr>
          <w:sz w:val="22"/>
        </w:rPr>
      </w:pPr>
    </w:p>
    <w:p>
      <w:pPr>
        <w:pStyle w:val="ListParagraph"/>
        <w:numPr>
          <w:ilvl w:val="0"/>
          <w:numId w:val="6"/>
        </w:numPr>
        <w:tabs>
          <w:tab w:pos="648" w:val="left" w:leader="none"/>
        </w:tabs>
        <w:spacing w:line="240" w:lineRule="auto" w:before="1" w:after="0"/>
        <w:ind w:left="647" w:right="215" w:hanging="428"/>
        <w:jc w:val="both"/>
        <w:rPr>
          <w:sz w:val="23"/>
        </w:rPr>
      </w:pPr>
      <w:r>
        <w:rPr>
          <w:b/>
          <w:sz w:val="23"/>
        </w:rPr>
        <w:t>PLAN DE ACCIÓN PARA MODERNIZAR EL SECTOR ELÉCTRICO EN LA REPÚBLICA DOMINICANA</w:t>
      </w:r>
      <w:r>
        <w:rPr>
          <w:sz w:val="23"/>
        </w:rPr>
        <w:t>, Banco Interamericano de Desarrollo y Banco Mundial, Agosto de 2009.</w:t>
      </w:r>
    </w:p>
    <w:p>
      <w:pPr>
        <w:pStyle w:val="BodyText"/>
      </w:pPr>
    </w:p>
    <w:p>
      <w:pPr>
        <w:pStyle w:val="ListParagraph"/>
        <w:numPr>
          <w:ilvl w:val="0"/>
          <w:numId w:val="6"/>
        </w:numPr>
        <w:tabs>
          <w:tab w:pos="648" w:val="left" w:leader="none"/>
        </w:tabs>
        <w:spacing w:line="240" w:lineRule="auto" w:before="0" w:after="0"/>
        <w:ind w:left="647" w:right="215" w:hanging="428"/>
        <w:jc w:val="both"/>
        <w:rPr>
          <w:sz w:val="23"/>
        </w:rPr>
      </w:pPr>
      <w:r>
        <w:rPr>
          <w:b/>
          <w:sz w:val="23"/>
        </w:rPr>
        <w:t>EVALUACIÓN AMBIENTAL ESTRATÉGICA (EAE) DEL PLAN ENERGÉTICO NACIONAL (PEN) 2010-2025 DE LA REPÚBLICA DOMINICANA</w:t>
      </w:r>
      <w:r>
        <w:rPr>
          <w:sz w:val="23"/>
        </w:rPr>
        <w:t>, TAU Consultores Ambientales, Enero de</w:t>
      </w:r>
      <w:r>
        <w:rPr>
          <w:spacing w:val="-2"/>
          <w:sz w:val="23"/>
        </w:rPr>
        <w:t> </w:t>
      </w:r>
      <w:r>
        <w:rPr>
          <w:sz w:val="23"/>
        </w:rPr>
        <w:t>2010.</w:t>
      </w:r>
    </w:p>
    <w:p>
      <w:pPr>
        <w:pStyle w:val="BodyText"/>
        <w:spacing w:before="1"/>
      </w:pPr>
    </w:p>
    <w:p>
      <w:pPr>
        <w:pStyle w:val="ListParagraph"/>
        <w:numPr>
          <w:ilvl w:val="0"/>
          <w:numId w:val="6"/>
        </w:numPr>
        <w:tabs>
          <w:tab w:pos="648" w:val="left" w:leader="none"/>
        </w:tabs>
        <w:spacing w:line="240" w:lineRule="auto" w:before="0" w:after="0"/>
        <w:ind w:left="647" w:right="215" w:hanging="428"/>
        <w:jc w:val="both"/>
        <w:rPr>
          <w:sz w:val="23"/>
        </w:rPr>
      </w:pPr>
      <w:r>
        <w:rPr>
          <w:b/>
          <w:sz w:val="23"/>
        </w:rPr>
        <w:t>PRONTUARIO TEMÁTICO SOBRE EL PEN</w:t>
      </w:r>
      <w:r>
        <w:rPr>
          <w:sz w:val="23"/>
        </w:rPr>
        <w:t>, resultado de las consultas a los agentes del mercado y la sociedad civil durante el año 2009 y</w:t>
      </w:r>
      <w:r>
        <w:rPr>
          <w:spacing w:val="-7"/>
          <w:sz w:val="23"/>
        </w:rPr>
        <w:t> </w:t>
      </w:r>
      <w:r>
        <w:rPr>
          <w:sz w:val="23"/>
        </w:rPr>
        <w:t>2010.</w:t>
      </w:r>
    </w:p>
    <w:p>
      <w:pPr>
        <w:pStyle w:val="BodyText"/>
      </w:pPr>
    </w:p>
    <w:p>
      <w:pPr>
        <w:pStyle w:val="BodyText"/>
        <w:ind w:left="220" w:right="214"/>
        <w:jc w:val="both"/>
      </w:pPr>
      <w:r>
        <w:rPr/>
        <w:t>Como puede verse, estos estudios fueron hechos en momentos diferentes, bajo condiciones económicas y energéticas diferentes, a lo largo de un periodo muy amplio entre 2007 y 2010, en el cual se dieron cambios profundos en el mercado petrolero y la economía mundial. Es claro que la dificultad mayor para utilizar estos estudios de manera integrada para formular el PEN es la diferencia de supuestos sobre los precios de los energéticos y las expectativas de la economía mundial. Por tal razón cualquier intento de armonizar cuantitativamente los diagnósticos, los supuestos de prospectiva y los escenarios económicos y energéticos implicaría una revisión profunda de los estudios, algo que está totalmente fuera del alcance de esta consultoría.</w:t>
      </w:r>
    </w:p>
    <w:p>
      <w:pPr>
        <w:pStyle w:val="BodyText"/>
        <w:spacing w:before="10"/>
        <w:rPr>
          <w:sz w:val="22"/>
        </w:rPr>
      </w:pPr>
    </w:p>
    <w:p>
      <w:pPr>
        <w:pStyle w:val="BodyText"/>
        <w:ind w:left="220" w:right="215"/>
        <w:jc w:val="both"/>
      </w:pPr>
      <w:r>
        <w:rPr/>
        <w:t>En consecuencia, este ejercicio no tiene como propósito armonizar cuantitativamente los diferentes estudios de soporte, ni actualizarlos, ni fijar, en consecuencia, escenarios de prospección ni metas de índole cuantitativa.</w:t>
      </w:r>
    </w:p>
    <w:p>
      <w:pPr>
        <w:pStyle w:val="BodyText"/>
        <w:spacing w:before="1"/>
      </w:pPr>
    </w:p>
    <w:p>
      <w:pPr>
        <w:pStyle w:val="BodyText"/>
        <w:ind w:left="220" w:right="215"/>
        <w:jc w:val="both"/>
      </w:pPr>
      <w:r>
        <w:rPr/>
        <w:t>No obstante, puede afirmarse que los estudios vistos de manera integral plantean un diagnóstico claro de la situación del sector energético y permiten definir las acciones que deben tomarse para resolver los problemas más apremiantes y direccionar las políticas hacia el futuro. Son precisamente esas acciones y políticas las que configuran y permiten definir las líneas estratégicas del</w:t>
      </w:r>
      <w:r>
        <w:rPr>
          <w:spacing w:val="-2"/>
        </w:rPr>
        <w:t> </w:t>
      </w:r>
      <w:r>
        <w:rPr/>
        <w:t>PEN.</w:t>
      </w:r>
    </w:p>
    <w:p>
      <w:pPr>
        <w:pStyle w:val="BodyText"/>
      </w:pPr>
    </w:p>
    <w:p>
      <w:pPr>
        <w:pStyle w:val="BodyText"/>
        <w:ind w:left="220" w:right="215"/>
        <w:jc w:val="both"/>
      </w:pPr>
      <w:r>
        <w:rPr/>
        <w:t>Cinco elementos son comunes en los diagnósticos de todos los estudios de base y son los que permitirán definir los objetivos y, en consecuencia las líneas</w:t>
      </w:r>
      <w:r>
        <w:rPr>
          <w:spacing w:val="-10"/>
        </w:rPr>
        <w:t> </w:t>
      </w:r>
      <w:r>
        <w:rPr/>
        <w:t>estratégicas:</w:t>
      </w:r>
    </w:p>
    <w:p>
      <w:pPr>
        <w:pStyle w:val="BodyText"/>
      </w:pPr>
    </w:p>
    <w:p>
      <w:pPr>
        <w:pStyle w:val="ListParagraph"/>
        <w:numPr>
          <w:ilvl w:val="1"/>
          <w:numId w:val="6"/>
        </w:numPr>
        <w:tabs>
          <w:tab w:pos="940" w:val="left" w:leader="none"/>
        </w:tabs>
        <w:spacing w:line="240" w:lineRule="auto" w:before="0" w:after="0"/>
        <w:ind w:left="939" w:right="0" w:hanging="360"/>
        <w:jc w:val="left"/>
        <w:rPr>
          <w:sz w:val="23"/>
        </w:rPr>
      </w:pPr>
      <w:r>
        <w:rPr>
          <w:sz w:val="23"/>
        </w:rPr>
        <w:t>Altos precios del petróleo en el mercado</w:t>
      </w:r>
      <w:r>
        <w:rPr>
          <w:spacing w:val="-21"/>
          <w:sz w:val="23"/>
        </w:rPr>
        <w:t> </w:t>
      </w:r>
      <w:r>
        <w:rPr>
          <w:sz w:val="23"/>
        </w:rPr>
        <w:t>internacional.</w:t>
      </w:r>
    </w:p>
    <w:p>
      <w:pPr>
        <w:pStyle w:val="ListParagraph"/>
        <w:numPr>
          <w:ilvl w:val="1"/>
          <w:numId w:val="6"/>
        </w:numPr>
        <w:tabs>
          <w:tab w:pos="940" w:val="left" w:leader="none"/>
        </w:tabs>
        <w:spacing w:line="277" w:lineRule="exact" w:before="1" w:after="0"/>
        <w:ind w:left="939" w:right="0" w:hanging="361"/>
        <w:jc w:val="left"/>
        <w:rPr>
          <w:sz w:val="23"/>
        </w:rPr>
      </w:pPr>
      <w:r>
        <w:rPr>
          <w:sz w:val="23"/>
        </w:rPr>
        <w:t>Alta participación del petróleo en el balance</w:t>
      </w:r>
      <w:r>
        <w:rPr>
          <w:spacing w:val="-7"/>
          <w:sz w:val="23"/>
        </w:rPr>
        <w:t> </w:t>
      </w:r>
      <w:r>
        <w:rPr>
          <w:sz w:val="23"/>
        </w:rPr>
        <w:t>energético.</w:t>
      </w:r>
    </w:p>
    <w:p>
      <w:pPr>
        <w:pStyle w:val="ListParagraph"/>
        <w:numPr>
          <w:ilvl w:val="1"/>
          <w:numId w:val="6"/>
        </w:numPr>
        <w:tabs>
          <w:tab w:pos="940" w:val="left" w:leader="none"/>
        </w:tabs>
        <w:spacing w:line="277" w:lineRule="exact" w:before="0" w:after="0"/>
        <w:ind w:left="940" w:right="0" w:hanging="361"/>
        <w:jc w:val="left"/>
        <w:rPr>
          <w:sz w:val="23"/>
        </w:rPr>
      </w:pPr>
      <w:r>
        <w:rPr>
          <w:sz w:val="23"/>
        </w:rPr>
        <w:t>Baja producción doméstica y dependencia de la importación de</w:t>
      </w:r>
      <w:r>
        <w:rPr>
          <w:spacing w:val="-8"/>
          <w:sz w:val="23"/>
        </w:rPr>
        <w:t> </w:t>
      </w:r>
      <w:r>
        <w:rPr>
          <w:sz w:val="23"/>
        </w:rPr>
        <w:t>energía.</w:t>
      </w:r>
    </w:p>
    <w:p>
      <w:pPr>
        <w:pStyle w:val="ListParagraph"/>
        <w:numPr>
          <w:ilvl w:val="1"/>
          <w:numId w:val="6"/>
        </w:numPr>
        <w:tabs>
          <w:tab w:pos="940" w:val="left" w:leader="none"/>
        </w:tabs>
        <w:spacing w:line="240" w:lineRule="auto" w:before="0" w:after="0"/>
        <w:ind w:left="939" w:right="0" w:hanging="361"/>
        <w:jc w:val="left"/>
        <w:rPr>
          <w:sz w:val="23"/>
        </w:rPr>
      </w:pPr>
      <w:r>
        <w:rPr>
          <w:sz w:val="23"/>
        </w:rPr>
        <w:t>Altos costos de la</w:t>
      </w:r>
      <w:r>
        <w:rPr>
          <w:spacing w:val="-1"/>
          <w:sz w:val="23"/>
        </w:rPr>
        <w:t> </w:t>
      </w:r>
      <w:r>
        <w:rPr>
          <w:sz w:val="23"/>
        </w:rPr>
        <w:t>energía.</w:t>
      </w:r>
    </w:p>
    <w:p>
      <w:pPr>
        <w:pStyle w:val="ListParagraph"/>
        <w:numPr>
          <w:ilvl w:val="1"/>
          <w:numId w:val="6"/>
        </w:numPr>
        <w:tabs>
          <w:tab w:pos="940" w:val="left" w:leader="none"/>
        </w:tabs>
        <w:spacing w:line="277" w:lineRule="exact" w:before="1" w:after="0"/>
        <w:ind w:left="940" w:right="0" w:hanging="361"/>
        <w:jc w:val="left"/>
        <w:rPr>
          <w:sz w:val="23"/>
        </w:rPr>
      </w:pPr>
      <w:r>
        <w:rPr>
          <w:sz w:val="23"/>
        </w:rPr>
        <w:t>Uso ineficiente de la</w:t>
      </w:r>
      <w:r>
        <w:rPr>
          <w:spacing w:val="-2"/>
          <w:sz w:val="23"/>
        </w:rPr>
        <w:t> </w:t>
      </w:r>
      <w:r>
        <w:rPr>
          <w:sz w:val="23"/>
        </w:rPr>
        <w:t>energía</w:t>
      </w:r>
    </w:p>
    <w:p>
      <w:pPr>
        <w:pStyle w:val="ListParagraph"/>
        <w:numPr>
          <w:ilvl w:val="1"/>
          <w:numId w:val="6"/>
        </w:numPr>
        <w:tabs>
          <w:tab w:pos="940" w:val="left" w:leader="none"/>
          <w:tab w:pos="2776" w:val="left" w:leader="none"/>
          <w:tab w:pos="3335" w:val="left" w:leader="none"/>
          <w:tab w:pos="3715" w:val="left" w:leader="none"/>
          <w:tab w:pos="4538" w:val="left" w:leader="none"/>
          <w:tab w:pos="5678" w:val="left" w:leader="none"/>
          <w:tab w:pos="5998" w:val="left" w:leader="none"/>
          <w:tab w:pos="7535" w:val="left" w:leader="none"/>
          <w:tab w:pos="8953" w:val="left" w:leader="none"/>
          <w:tab w:pos="9407" w:val="left" w:leader="none"/>
        </w:tabs>
        <w:spacing w:line="240" w:lineRule="auto" w:before="0" w:after="0"/>
        <w:ind w:left="939" w:right="216" w:hanging="360"/>
        <w:jc w:val="left"/>
        <w:rPr>
          <w:sz w:val="23"/>
        </w:rPr>
      </w:pPr>
      <w:r>
        <w:rPr>
          <w:sz w:val="23"/>
        </w:rPr>
        <w:t>Responsabilidad</w:t>
        <w:tab/>
        <w:t>con</w:t>
        <w:tab/>
        <w:t>el</w:t>
        <w:tab/>
        <w:t>medio</w:t>
        <w:tab/>
        <w:t>ambiente</w:t>
        <w:tab/>
        <w:t>y</w:t>
        <w:tab/>
        <w:t>compromisos</w:t>
        <w:tab/>
        <w:t>ambientales</w:t>
        <w:tab/>
        <w:t>en</w:t>
        <w:tab/>
      </w:r>
      <w:r>
        <w:rPr>
          <w:spacing w:val="-9"/>
          <w:sz w:val="23"/>
        </w:rPr>
        <w:t>la </w:t>
      </w:r>
      <w:r>
        <w:rPr>
          <w:sz w:val="23"/>
        </w:rPr>
        <w:t>producción, transmisión, distribución y uso de la</w:t>
      </w:r>
      <w:r>
        <w:rPr>
          <w:spacing w:val="-4"/>
          <w:sz w:val="23"/>
        </w:rPr>
        <w:t> </w:t>
      </w:r>
      <w:r>
        <w:rPr>
          <w:sz w:val="23"/>
        </w:rPr>
        <w:t>energía.</w:t>
      </w:r>
    </w:p>
    <w:p>
      <w:pPr>
        <w:spacing w:after="0" w:line="240" w:lineRule="auto"/>
        <w:jc w:val="left"/>
        <w:rPr>
          <w:sz w:val="23"/>
        </w:rPr>
        <w:sectPr>
          <w:pgSz w:w="12240" w:h="15840"/>
          <w:pgMar w:header="718" w:footer="954" w:top="1500" w:bottom="1140" w:left="1220" w:right="1220"/>
        </w:sectPr>
      </w:pPr>
    </w:p>
    <w:p>
      <w:pPr>
        <w:pStyle w:val="BodyText"/>
        <w:spacing w:before="1"/>
        <w:rPr>
          <w:sz w:val="24"/>
        </w:rPr>
      </w:pPr>
    </w:p>
    <w:p>
      <w:pPr>
        <w:pStyle w:val="BodyText"/>
        <w:spacing w:before="101"/>
        <w:ind w:left="219" w:right="215"/>
        <w:jc w:val="both"/>
      </w:pPr>
      <w:r>
        <w:rPr/>
        <w:t>Estos puntos fundamentales no obedecen a coyunturas particulares sino que tienen continuidad y permanencia y por lo tanto configuran el marco de los retos que tiene el sector para superar. Cada uno de ellos tendrá su contrapartida de un objetivo estratégico a obtener.</w:t>
      </w:r>
    </w:p>
    <w:p>
      <w:pPr>
        <w:pStyle w:val="BodyText"/>
        <w:spacing w:before="10"/>
        <w:rPr>
          <w:sz w:val="22"/>
        </w:rPr>
      </w:pPr>
    </w:p>
    <w:p>
      <w:pPr>
        <w:pStyle w:val="BodyText"/>
        <w:spacing w:before="1"/>
        <w:ind w:left="219" w:right="214"/>
        <w:jc w:val="both"/>
      </w:pPr>
      <w:r>
        <w:rPr/>
        <w:t>Dicho lo anterior queda claro que el PEN se configura conceptualmente como las políticas y líneas estratégicas que guíen el accionar del Estado Dominicano y fijen el papel y los incentivos para el sector privado, para el logro de unos objetivos de mediano y largo plazo.</w:t>
      </w:r>
    </w:p>
    <w:p>
      <w:pPr>
        <w:pStyle w:val="BodyText"/>
      </w:pPr>
    </w:p>
    <w:p>
      <w:pPr>
        <w:pStyle w:val="BodyText"/>
        <w:ind w:left="219" w:right="215"/>
        <w:jc w:val="both"/>
      </w:pPr>
      <w:r>
        <w:rPr/>
        <w:t>Finalmente, el PEN debe ser un instrumento accesible a todos los agentes del mercado y el público en general, fácil de consultar, con las cifras estrictamente necesarias para soportar sus planteamientos. Los soportes técnicos y los estudios deberá tenerlos disponible la CNE para consulta de los expertos y ser publicados como anexos y memorias técnicas.</w:t>
      </w:r>
    </w:p>
    <w:p>
      <w:pPr>
        <w:spacing w:after="0"/>
        <w:jc w:val="both"/>
        <w:sectPr>
          <w:pgSz w:w="12240" w:h="15840"/>
          <w:pgMar w:header="718" w:footer="954" w:top="1500" w:bottom="1140" w:left="1220" w:right="1220"/>
        </w:sectPr>
      </w:pPr>
    </w:p>
    <w:p>
      <w:pPr>
        <w:pStyle w:val="BodyText"/>
        <w:spacing w:before="5"/>
        <w:rPr>
          <w:sz w:val="9"/>
        </w:rPr>
      </w:pPr>
    </w:p>
    <w:p>
      <w:pPr>
        <w:pStyle w:val="Heading1"/>
        <w:spacing w:before="101"/>
        <w:ind w:left="3337" w:right="229" w:hanging="2372"/>
        <w:jc w:val="left"/>
      </w:pPr>
      <w:bookmarkStart w:name="_TOC_250098" w:id="1"/>
      <w:bookmarkEnd w:id="1"/>
      <w:r>
        <w:rPr/>
        <w:t>PEN 2010-2025: LINEAMIENTOS ESTRATÉGICOS PARA EL SECTOR ENERGÉTICO</w:t>
      </w:r>
    </w:p>
    <w:p>
      <w:pPr>
        <w:spacing w:after="0"/>
        <w:jc w:val="left"/>
        <w:sectPr>
          <w:headerReference w:type="default" r:id="rId10"/>
          <w:footerReference w:type="default" r:id="rId11"/>
          <w:pgSz w:w="12240" w:h="15840"/>
          <w:pgMar w:header="0" w:footer="0" w:top="1500" w:bottom="280" w:left="1220" w:right="1220"/>
        </w:sectPr>
      </w:pPr>
    </w:p>
    <w:p>
      <w:pPr>
        <w:spacing w:before="99"/>
        <w:ind w:left="522" w:right="523" w:firstLine="0"/>
        <w:jc w:val="center"/>
        <w:rPr>
          <w:rFonts w:ascii="Arial" w:hAnsi="Arial"/>
          <w:b/>
          <w:sz w:val="28"/>
        </w:rPr>
      </w:pPr>
      <w:r>
        <w:rPr>
          <w:rFonts w:ascii="Arial" w:hAnsi="Arial"/>
          <w:b/>
          <w:sz w:val="28"/>
        </w:rPr>
        <w:t>CAPÍTULO 1</w:t>
      </w:r>
    </w:p>
    <w:p>
      <w:pPr>
        <w:pStyle w:val="BodyText"/>
        <w:rPr>
          <w:rFonts w:ascii="Arial"/>
          <w:b/>
          <w:sz w:val="28"/>
        </w:rPr>
      </w:pPr>
    </w:p>
    <w:p>
      <w:pPr>
        <w:pStyle w:val="BodyText"/>
        <w:spacing w:before="8"/>
        <w:rPr>
          <w:rFonts w:ascii="Arial"/>
          <w:b/>
          <w:sz w:val="24"/>
        </w:rPr>
      </w:pPr>
    </w:p>
    <w:p>
      <w:pPr>
        <w:pStyle w:val="Heading2"/>
        <w:ind w:left="520" w:right="523" w:firstLine="0"/>
        <w:jc w:val="center"/>
      </w:pPr>
      <w:bookmarkStart w:name="_TOC_250097" w:id="2"/>
      <w:bookmarkEnd w:id="2"/>
      <w:r>
        <w:rPr/>
        <w:t>PRINCIPIOS RECTORES Y OBJETIVOS ESTRATÉGICOS</w:t>
      </w:r>
    </w:p>
    <w:p>
      <w:pPr>
        <w:pStyle w:val="BodyText"/>
        <w:spacing w:before="8"/>
        <w:rPr>
          <w:rFonts w:ascii="Verdana"/>
          <w:b/>
          <w:sz w:val="45"/>
        </w:rPr>
      </w:pPr>
    </w:p>
    <w:p>
      <w:pPr>
        <w:pStyle w:val="Heading2"/>
        <w:numPr>
          <w:ilvl w:val="1"/>
          <w:numId w:val="7"/>
        </w:numPr>
        <w:tabs>
          <w:tab w:pos="949" w:val="left" w:leader="none"/>
          <w:tab w:pos="950" w:val="left" w:leader="none"/>
        </w:tabs>
        <w:spacing w:line="240" w:lineRule="auto" w:before="1" w:after="0"/>
        <w:ind w:left="949" w:right="0" w:hanging="731"/>
        <w:jc w:val="left"/>
      </w:pPr>
      <w:bookmarkStart w:name="_TOC_250096" w:id="3"/>
      <w:r>
        <w:rPr/>
        <w:t>PRINCIPIOS</w:t>
      </w:r>
      <w:r>
        <w:rPr>
          <w:spacing w:val="-1"/>
        </w:rPr>
        <w:t> </w:t>
      </w:r>
      <w:bookmarkEnd w:id="3"/>
      <w:r>
        <w:rPr/>
        <w:t>RECTORES</w:t>
      </w:r>
    </w:p>
    <w:p>
      <w:pPr>
        <w:pStyle w:val="BodyText"/>
        <w:spacing w:before="276"/>
        <w:ind w:left="219"/>
      </w:pPr>
      <w:r>
        <w:rPr/>
        <w:t>Los principios rectores que guían el diseño del PEN son tres:</w:t>
      </w:r>
    </w:p>
    <w:p>
      <w:pPr>
        <w:pStyle w:val="BodyText"/>
        <w:spacing w:before="6"/>
        <w:rPr>
          <w:sz w:val="22"/>
        </w:rPr>
      </w:pPr>
    </w:p>
    <w:p>
      <w:pPr>
        <w:pStyle w:val="ListParagraph"/>
        <w:numPr>
          <w:ilvl w:val="2"/>
          <w:numId w:val="7"/>
        </w:numPr>
        <w:tabs>
          <w:tab w:pos="940" w:val="left" w:leader="none"/>
        </w:tabs>
        <w:spacing w:line="240" w:lineRule="auto" w:before="0" w:after="0"/>
        <w:ind w:left="940" w:right="214" w:hanging="361"/>
        <w:jc w:val="both"/>
        <w:rPr>
          <w:sz w:val="23"/>
        </w:rPr>
      </w:pPr>
      <w:r>
        <w:rPr>
          <w:b/>
          <w:i/>
          <w:sz w:val="24"/>
        </w:rPr>
        <w:t>Incremento de la competitividad de la economía dominicana</w:t>
      </w:r>
      <w:r>
        <w:rPr>
          <w:b/>
          <w:sz w:val="23"/>
        </w:rPr>
        <w:t>: </w:t>
      </w:r>
      <w:r>
        <w:rPr>
          <w:sz w:val="23"/>
        </w:rPr>
        <w:t>Con la</w:t>
      </w:r>
      <w:r>
        <w:rPr>
          <w:spacing w:val="-38"/>
          <w:sz w:val="23"/>
        </w:rPr>
        <w:t> </w:t>
      </w:r>
      <w:r>
        <w:rPr>
          <w:sz w:val="23"/>
        </w:rPr>
        <w:t>firma del CAFTA, la República Dominicana se orienta cada vez más hacia una economía de exportación, en un contexto de mayor competencia internacional. La energía, como insumo fundamental de los procesos productivos en todos los sectores económicos, debe apoyar significativamente en incrementar la competitividad con una oferta suficiente y</w:t>
      </w:r>
      <w:r>
        <w:rPr>
          <w:spacing w:val="1"/>
          <w:sz w:val="23"/>
        </w:rPr>
        <w:t> </w:t>
      </w:r>
      <w:r>
        <w:rPr>
          <w:sz w:val="23"/>
        </w:rPr>
        <w:t>confiable.</w:t>
      </w:r>
    </w:p>
    <w:p>
      <w:pPr>
        <w:pStyle w:val="BodyText"/>
        <w:spacing w:before="2"/>
        <w:rPr>
          <w:sz w:val="22"/>
        </w:rPr>
      </w:pPr>
    </w:p>
    <w:p>
      <w:pPr>
        <w:pStyle w:val="ListParagraph"/>
        <w:numPr>
          <w:ilvl w:val="2"/>
          <w:numId w:val="7"/>
        </w:numPr>
        <w:tabs>
          <w:tab w:pos="940" w:val="left" w:leader="none"/>
        </w:tabs>
        <w:spacing w:line="237" w:lineRule="auto" w:before="1" w:after="0"/>
        <w:ind w:left="940" w:right="214" w:hanging="360"/>
        <w:jc w:val="both"/>
        <w:rPr>
          <w:sz w:val="23"/>
        </w:rPr>
      </w:pPr>
      <w:r>
        <w:rPr>
          <w:b/>
          <w:i/>
          <w:sz w:val="24"/>
        </w:rPr>
        <w:t>Mejorar la calidad de vida de la población: </w:t>
      </w:r>
      <w:r>
        <w:rPr>
          <w:sz w:val="23"/>
        </w:rPr>
        <w:t>Este es un imperativo del Estado</w:t>
      </w:r>
      <w:r>
        <w:rPr>
          <w:spacing w:val="-25"/>
          <w:sz w:val="23"/>
        </w:rPr>
        <w:t> </w:t>
      </w:r>
      <w:r>
        <w:rPr>
          <w:sz w:val="23"/>
        </w:rPr>
        <w:t>y una de sus razones de ser. La energía aporta significativamente en el bienestar de la población en los usos en el hogar y el transporte por lo cual debe garantizarse acceso universal bajo criterios de eficiencia, equidad y</w:t>
      </w:r>
      <w:r>
        <w:rPr>
          <w:spacing w:val="-5"/>
          <w:sz w:val="23"/>
        </w:rPr>
        <w:t> </w:t>
      </w:r>
      <w:r>
        <w:rPr>
          <w:sz w:val="23"/>
        </w:rPr>
        <w:t>solidaridad.</w:t>
      </w:r>
    </w:p>
    <w:p>
      <w:pPr>
        <w:pStyle w:val="BodyText"/>
        <w:spacing w:before="11"/>
        <w:rPr>
          <w:sz w:val="22"/>
        </w:rPr>
      </w:pPr>
    </w:p>
    <w:p>
      <w:pPr>
        <w:pStyle w:val="ListParagraph"/>
        <w:numPr>
          <w:ilvl w:val="2"/>
          <w:numId w:val="7"/>
        </w:numPr>
        <w:tabs>
          <w:tab w:pos="940" w:val="left" w:leader="none"/>
        </w:tabs>
        <w:spacing w:line="237" w:lineRule="auto" w:before="0" w:after="0"/>
        <w:ind w:left="940" w:right="214" w:hanging="360"/>
        <w:jc w:val="both"/>
        <w:rPr>
          <w:sz w:val="23"/>
        </w:rPr>
      </w:pPr>
      <w:r>
        <w:rPr>
          <w:b/>
          <w:i/>
          <w:sz w:val="24"/>
        </w:rPr>
        <w:t>Compromiso con la protección del medio ambiente: </w:t>
      </w:r>
      <w:r>
        <w:rPr>
          <w:sz w:val="23"/>
        </w:rPr>
        <w:t>Los compromisos internacionales respecto al cambio climático, los costos sociales involucrados como bien público y el efecto que tiene en la calidad de vida de la población, configuran el tema ambiental como un principio</w:t>
      </w:r>
      <w:r>
        <w:rPr>
          <w:spacing w:val="-4"/>
          <w:sz w:val="23"/>
        </w:rPr>
        <w:t> </w:t>
      </w:r>
      <w:r>
        <w:rPr>
          <w:sz w:val="23"/>
        </w:rPr>
        <w:t>rector.</w:t>
      </w:r>
    </w:p>
    <w:p>
      <w:pPr>
        <w:pStyle w:val="BodyText"/>
        <w:rPr>
          <w:sz w:val="28"/>
        </w:rPr>
      </w:pPr>
    </w:p>
    <w:p>
      <w:pPr>
        <w:pStyle w:val="Heading2"/>
        <w:numPr>
          <w:ilvl w:val="1"/>
          <w:numId w:val="7"/>
        </w:numPr>
        <w:tabs>
          <w:tab w:pos="949" w:val="left" w:leader="none"/>
          <w:tab w:pos="950" w:val="left" w:leader="none"/>
        </w:tabs>
        <w:spacing w:line="240" w:lineRule="auto" w:before="221" w:after="0"/>
        <w:ind w:left="949" w:right="0" w:hanging="730"/>
        <w:jc w:val="left"/>
      </w:pPr>
      <w:bookmarkStart w:name="_TOC_250095" w:id="4"/>
      <w:r>
        <w:rPr/>
        <w:t>LOS OBJETIVOS</w:t>
      </w:r>
      <w:r>
        <w:rPr>
          <w:spacing w:val="-1"/>
        </w:rPr>
        <w:t> </w:t>
      </w:r>
      <w:bookmarkEnd w:id="4"/>
      <w:r>
        <w:rPr/>
        <w:t>ESTRATÉGICOS</w:t>
      </w:r>
    </w:p>
    <w:p>
      <w:pPr>
        <w:pStyle w:val="BodyText"/>
        <w:spacing w:before="277"/>
        <w:ind w:left="220"/>
      </w:pPr>
      <w:r>
        <w:rPr/>
        <w:t>El diagnóstico sobre el sector energético ha identificado cinco factores principales que han influido e influirán de manera importante en el desarrollo del sector:</w:t>
      </w:r>
    </w:p>
    <w:p>
      <w:pPr>
        <w:pStyle w:val="BodyText"/>
        <w:spacing w:before="12"/>
        <w:rPr>
          <w:sz w:val="22"/>
        </w:rPr>
      </w:pPr>
    </w:p>
    <w:p>
      <w:pPr>
        <w:pStyle w:val="ListParagraph"/>
        <w:numPr>
          <w:ilvl w:val="0"/>
          <w:numId w:val="8"/>
        </w:numPr>
        <w:tabs>
          <w:tab w:pos="940" w:val="left" w:leader="none"/>
        </w:tabs>
        <w:spacing w:line="240" w:lineRule="auto" w:before="0" w:after="0"/>
        <w:ind w:left="939" w:right="0" w:hanging="360"/>
        <w:jc w:val="left"/>
        <w:rPr>
          <w:sz w:val="23"/>
        </w:rPr>
      </w:pPr>
      <w:r>
        <w:rPr>
          <w:sz w:val="23"/>
        </w:rPr>
        <w:t>Altos precios del petróleo en el mercado</w:t>
      </w:r>
      <w:r>
        <w:rPr>
          <w:spacing w:val="-4"/>
          <w:sz w:val="23"/>
        </w:rPr>
        <w:t> </w:t>
      </w:r>
      <w:r>
        <w:rPr>
          <w:sz w:val="23"/>
        </w:rPr>
        <w:t>internacional.</w:t>
      </w:r>
    </w:p>
    <w:p>
      <w:pPr>
        <w:pStyle w:val="ListParagraph"/>
        <w:numPr>
          <w:ilvl w:val="0"/>
          <w:numId w:val="8"/>
        </w:numPr>
        <w:tabs>
          <w:tab w:pos="940" w:val="left" w:leader="none"/>
        </w:tabs>
        <w:spacing w:line="240" w:lineRule="auto" w:before="0" w:after="0"/>
        <w:ind w:left="939" w:right="0" w:hanging="361"/>
        <w:jc w:val="left"/>
        <w:rPr>
          <w:sz w:val="23"/>
        </w:rPr>
      </w:pPr>
      <w:r>
        <w:rPr>
          <w:sz w:val="23"/>
        </w:rPr>
        <w:t>Alta participación del petróleo en el balance</w:t>
      </w:r>
      <w:r>
        <w:rPr>
          <w:spacing w:val="-7"/>
          <w:sz w:val="23"/>
        </w:rPr>
        <w:t> </w:t>
      </w:r>
      <w:r>
        <w:rPr>
          <w:sz w:val="23"/>
        </w:rPr>
        <w:t>energético.</w:t>
      </w:r>
    </w:p>
    <w:p>
      <w:pPr>
        <w:pStyle w:val="ListParagraph"/>
        <w:numPr>
          <w:ilvl w:val="0"/>
          <w:numId w:val="8"/>
        </w:numPr>
        <w:tabs>
          <w:tab w:pos="940" w:val="left" w:leader="none"/>
        </w:tabs>
        <w:spacing w:line="277" w:lineRule="exact" w:before="1" w:after="0"/>
        <w:ind w:left="940" w:right="0" w:hanging="361"/>
        <w:jc w:val="left"/>
        <w:rPr>
          <w:sz w:val="23"/>
        </w:rPr>
      </w:pPr>
      <w:r>
        <w:rPr>
          <w:sz w:val="23"/>
        </w:rPr>
        <w:t>Baja producción doméstica y dependencia de la importación de</w:t>
      </w:r>
      <w:r>
        <w:rPr>
          <w:spacing w:val="-8"/>
          <w:sz w:val="23"/>
        </w:rPr>
        <w:t> </w:t>
      </w:r>
      <w:r>
        <w:rPr>
          <w:sz w:val="23"/>
        </w:rPr>
        <w:t>energía.</w:t>
      </w:r>
    </w:p>
    <w:p>
      <w:pPr>
        <w:pStyle w:val="ListParagraph"/>
        <w:numPr>
          <w:ilvl w:val="0"/>
          <w:numId w:val="8"/>
        </w:numPr>
        <w:tabs>
          <w:tab w:pos="940" w:val="left" w:leader="none"/>
        </w:tabs>
        <w:spacing w:line="277" w:lineRule="exact" w:before="0" w:after="0"/>
        <w:ind w:left="939" w:right="0" w:hanging="361"/>
        <w:jc w:val="left"/>
        <w:rPr>
          <w:sz w:val="23"/>
        </w:rPr>
      </w:pPr>
      <w:r>
        <w:rPr>
          <w:sz w:val="23"/>
        </w:rPr>
        <w:t>Altos costos de la</w:t>
      </w:r>
      <w:r>
        <w:rPr>
          <w:spacing w:val="-1"/>
          <w:sz w:val="23"/>
        </w:rPr>
        <w:t> </w:t>
      </w:r>
      <w:r>
        <w:rPr>
          <w:sz w:val="23"/>
        </w:rPr>
        <w:t>energía.</w:t>
      </w:r>
    </w:p>
    <w:p>
      <w:pPr>
        <w:pStyle w:val="ListParagraph"/>
        <w:numPr>
          <w:ilvl w:val="0"/>
          <w:numId w:val="8"/>
        </w:numPr>
        <w:tabs>
          <w:tab w:pos="940" w:val="left" w:leader="none"/>
        </w:tabs>
        <w:spacing w:line="240" w:lineRule="auto" w:before="1" w:after="0"/>
        <w:ind w:left="940" w:right="0" w:hanging="361"/>
        <w:jc w:val="left"/>
        <w:rPr>
          <w:sz w:val="23"/>
        </w:rPr>
      </w:pPr>
      <w:r>
        <w:rPr>
          <w:sz w:val="23"/>
        </w:rPr>
        <w:t>Uso ineficiente de la</w:t>
      </w:r>
      <w:r>
        <w:rPr>
          <w:spacing w:val="-2"/>
          <w:sz w:val="23"/>
        </w:rPr>
        <w:t> </w:t>
      </w:r>
      <w:r>
        <w:rPr>
          <w:sz w:val="23"/>
        </w:rPr>
        <w:t>energía</w:t>
      </w:r>
    </w:p>
    <w:p>
      <w:pPr>
        <w:spacing w:after="0" w:line="240" w:lineRule="auto"/>
        <w:jc w:val="left"/>
        <w:rPr>
          <w:sz w:val="23"/>
        </w:rPr>
        <w:sectPr>
          <w:headerReference w:type="default" r:id="rId12"/>
          <w:footerReference w:type="default" r:id="rId13"/>
          <w:pgSz w:w="12240" w:h="15840"/>
          <w:pgMar w:header="718" w:footer="954" w:top="1500" w:bottom="1140" w:left="1220" w:right="1220"/>
          <w:pgNumType w:start="1"/>
        </w:sectPr>
      </w:pPr>
    </w:p>
    <w:p>
      <w:pPr>
        <w:pStyle w:val="BodyText"/>
        <w:spacing w:before="113"/>
        <w:ind w:left="219" w:right="213"/>
        <w:jc w:val="both"/>
      </w:pPr>
      <w:r>
        <w:rPr/>
        <w:t>En particular, la República Dominicana enfrenta un choque petrolero originado en un alza de precios sostenido desde el año 2004</w:t>
      </w:r>
      <w:r>
        <w:rPr>
          <w:vertAlign w:val="superscript"/>
        </w:rPr>
        <w:t>2</w:t>
      </w:r>
      <w:r>
        <w:rPr>
          <w:vertAlign w:val="baseline"/>
        </w:rPr>
        <w:t>. La perspectiva de altos precios del petróleo es y será un elemento determinante en la economía dominicana y en la definición de la política energética. El PEN 2010-2025 considera esta perspectiva como el factor de más peso en el diseño de sus líneas estratégicas. Las expectativas del sostenimiento de altos precios del petróleo, en una economía basada en combustibles fósiles, presentan un reto a la competitividad y a la posibilidad de mejorar la calidad de vida de la</w:t>
      </w:r>
      <w:r>
        <w:rPr>
          <w:spacing w:val="-11"/>
          <w:vertAlign w:val="baseline"/>
        </w:rPr>
        <w:t> </w:t>
      </w:r>
      <w:r>
        <w:rPr>
          <w:vertAlign w:val="baseline"/>
        </w:rPr>
        <w:t>población.</w:t>
      </w:r>
    </w:p>
    <w:p>
      <w:pPr>
        <w:pStyle w:val="BodyText"/>
        <w:spacing w:before="1"/>
      </w:pPr>
    </w:p>
    <w:p>
      <w:pPr>
        <w:pStyle w:val="BodyText"/>
        <w:ind w:left="219" w:right="214"/>
        <w:jc w:val="both"/>
      </w:pPr>
      <w:r>
        <w:rPr/>
        <w:t>Los principios rectores conllevan la necesidad de superar las restricciones que estos factores imponen para lograr una economía más competitiva, con una oferta de energía menos costosa, más diversificada, más confiable y más limpia y la mejoría sostenible de la calidad de vida de la</w:t>
      </w:r>
      <w:r>
        <w:rPr>
          <w:spacing w:val="-1"/>
        </w:rPr>
        <w:t> </w:t>
      </w:r>
      <w:r>
        <w:rPr/>
        <w:t>población.</w:t>
      </w:r>
    </w:p>
    <w:p>
      <w:pPr>
        <w:pStyle w:val="BodyText"/>
        <w:spacing w:before="11"/>
        <w:rPr>
          <w:sz w:val="22"/>
        </w:rPr>
      </w:pPr>
    </w:p>
    <w:p>
      <w:pPr>
        <w:pStyle w:val="BodyText"/>
        <w:ind w:left="220" w:right="216" w:hanging="1"/>
        <w:jc w:val="both"/>
      </w:pPr>
      <w:r>
        <w:rPr/>
        <w:t>Tal como lo propone la </w:t>
      </w:r>
      <w:r>
        <w:rPr>
          <w:b/>
        </w:rPr>
        <w:t>Visión </w:t>
      </w:r>
      <w:r>
        <w:rPr/>
        <w:t>de la Comisión Nacional de Energía, el PEN debe establecer las políticas que garantices un pleno y confiable abastecimiento de energía a costos competitivos, como motor de desarrollo de las actividades productivas y factor de mejoramiento de la calidad de vida de la población, que prevea las necesidades de crecimiento del sector y promueva la inversión privada.</w:t>
      </w:r>
    </w:p>
    <w:p>
      <w:pPr>
        <w:pStyle w:val="BodyText"/>
      </w:pPr>
    </w:p>
    <w:p>
      <w:pPr>
        <w:spacing w:line="230" w:lineRule="auto" w:before="0"/>
        <w:ind w:left="220" w:right="216" w:firstLine="0"/>
        <w:jc w:val="both"/>
        <w:rPr>
          <w:sz w:val="23"/>
        </w:rPr>
      </w:pPr>
      <w:r>
        <w:rPr>
          <w:sz w:val="23"/>
        </w:rPr>
        <w:t>En consecuencia, la aplicación de estos principios implica el logro de cinco </w:t>
      </w:r>
      <w:r>
        <w:rPr>
          <w:i/>
          <w:sz w:val="24"/>
        </w:rPr>
        <w:t>objetivos estratégicos</w:t>
      </w:r>
      <w:r>
        <w:rPr>
          <w:sz w:val="23"/>
        </w:rPr>
        <w:t>:</w:t>
      </w:r>
    </w:p>
    <w:p>
      <w:pPr>
        <w:pStyle w:val="BodyText"/>
        <w:spacing w:before="6"/>
        <w:rPr>
          <w:sz w:val="13"/>
        </w:rPr>
      </w:pPr>
    </w:p>
    <w:p>
      <w:pPr>
        <w:pStyle w:val="Heading6"/>
        <w:numPr>
          <w:ilvl w:val="1"/>
          <w:numId w:val="8"/>
        </w:numPr>
        <w:tabs>
          <w:tab w:pos="2380" w:val="left" w:leader="none"/>
        </w:tabs>
        <w:spacing w:line="284" w:lineRule="exact" w:before="104" w:after="0"/>
        <w:ind w:left="2380" w:right="0" w:hanging="361"/>
        <w:jc w:val="left"/>
      </w:pPr>
      <w:r>
        <w:rPr/>
        <w:t>Incrementar la oferta de energía</w:t>
      </w:r>
      <w:r>
        <w:rPr>
          <w:spacing w:val="-45"/>
        </w:rPr>
        <w:t> </w:t>
      </w:r>
      <w:r>
        <w:rPr/>
        <w:t>doméstica;</w:t>
      </w:r>
    </w:p>
    <w:p>
      <w:pPr>
        <w:pStyle w:val="ListParagraph"/>
        <w:numPr>
          <w:ilvl w:val="1"/>
          <w:numId w:val="8"/>
        </w:numPr>
        <w:tabs>
          <w:tab w:pos="2380" w:val="left" w:leader="none"/>
        </w:tabs>
        <w:spacing w:line="278" w:lineRule="exact" w:before="0" w:after="0"/>
        <w:ind w:left="2380" w:right="0" w:hanging="361"/>
        <w:jc w:val="left"/>
        <w:rPr>
          <w:b/>
          <w:i/>
          <w:sz w:val="24"/>
        </w:rPr>
      </w:pPr>
      <w:r>
        <w:rPr>
          <w:b/>
          <w:i/>
          <w:sz w:val="24"/>
        </w:rPr>
        <w:t>Disminuir el costo de la</w:t>
      </w:r>
      <w:r>
        <w:rPr>
          <w:b/>
          <w:i/>
          <w:spacing w:val="-29"/>
          <w:sz w:val="24"/>
        </w:rPr>
        <w:t> </w:t>
      </w:r>
      <w:r>
        <w:rPr>
          <w:b/>
          <w:i/>
          <w:sz w:val="24"/>
        </w:rPr>
        <w:t>energía;</w:t>
      </w:r>
    </w:p>
    <w:p>
      <w:pPr>
        <w:pStyle w:val="ListParagraph"/>
        <w:numPr>
          <w:ilvl w:val="1"/>
          <w:numId w:val="8"/>
        </w:numPr>
        <w:tabs>
          <w:tab w:pos="2380" w:val="left" w:leader="none"/>
        </w:tabs>
        <w:spacing w:line="277" w:lineRule="exact" w:before="0" w:after="0"/>
        <w:ind w:left="2380" w:right="0" w:hanging="361"/>
        <w:jc w:val="left"/>
        <w:rPr>
          <w:b/>
          <w:i/>
          <w:sz w:val="24"/>
        </w:rPr>
      </w:pPr>
      <w:r>
        <w:rPr>
          <w:b/>
          <w:i/>
          <w:sz w:val="24"/>
        </w:rPr>
        <w:t>Desarrollar</w:t>
      </w:r>
      <w:r>
        <w:rPr>
          <w:b/>
          <w:i/>
          <w:spacing w:val="-12"/>
          <w:sz w:val="24"/>
        </w:rPr>
        <w:t> </w:t>
      </w:r>
      <w:r>
        <w:rPr>
          <w:b/>
          <w:i/>
          <w:sz w:val="24"/>
        </w:rPr>
        <w:t>una</w:t>
      </w:r>
      <w:r>
        <w:rPr>
          <w:b/>
          <w:i/>
          <w:spacing w:val="-13"/>
          <w:sz w:val="24"/>
        </w:rPr>
        <w:t> </w:t>
      </w:r>
      <w:r>
        <w:rPr>
          <w:b/>
          <w:i/>
          <w:sz w:val="24"/>
        </w:rPr>
        <w:t>oferta</w:t>
      </w:r>
      <w:r>
        <w:rPr>
          <w:b/>
          <w:i/>
          <w:spacing w:val="-14"/>
          <w:sz w:val="24"/>
        </w:rPr>
        <w:t> </w:t>
      </w:r>
      <w:r>
        <w:rPr>
          <w:b/>
          <w:i/>
          <w:sz w:val="24"/>
        </w:rPr>
        <w:t>energética</w:t>
      </w:r>
      <w:r>
        <w:rPr>
          <w:b/>
          <w:i/>
          <w:spacing w:val="-13"/>
          <w:sz w:val="24"/>
        </w:rPr>
        <w:t> </w:t>
      </w:r>
      <w:r>
        <w:rPr>
          <w:b/>
          <w:i/>
          <w:sz w:val="24"/>
        </w:rPr>
        <w:t>segura</w:t>
      </w:r>
      <w:r>
        <w:rPr>
          <w:b/>
          <w:i/>
          <w:spacing w:val="-11"/>
          <w:sz w:val="24"/>
        </w:rPr>
        <w:t> </w:t>
      </w:r>
      <w:r>
        <w:rPr>
          <w:b/>
          <w:i/>
          <w:sz w:val="24"/>
        </w:rPr>
        <w:t>y</w:t>
      </w:r>
      <w:r>
        <w:rPr>
          <w:b/>
          <w:i/>
          <w:spacing w:val="-14"/>
          <w:sz w:val="24"/>
        </w:rPr>
        <w:t> </w:t>
      </w:r>
      <w:r>
        <w:rPr>
          <w:b/>
          <w:i/>
          <w:sz w:val="24"/>
        </w:rPr>
        <w:t>confiable</w:t>
      </w:r>
    </w:p>
    <w:p>
      <w:pPr>
        <w:pStyle w:val="ListParagraph"/>
        <w:numPr>
          <w:ilvl w:val="1"/>
          <w:numId w:val="8"/>
        </w:numPr>
        <w:tabs>
          <w:tab w:pos="2380" w:val="left" w:leader="none"/>
        </w:tabs>
        <w:spacing w:line="230" w:lineRule="auto" w:before="3" w:after="0"/>
        <w:ind w:left="2380" w:right="220" w:hanging="360"/>
        <w:jc w:val="left"/>
        <w:rPr>
          <w:b/>
          <w:i/>
          <w:sz w:val="24"/>
        </w:rPr>
      </w:pPr>
      <w:r>
        <w:rPr>
          <w:b/>
          <w:i/>
          <w:sz w:val="24"/>
        </w:rPr>
        <w:t>Incrementar la eficiencia energética y el uso racional de energía;</w:t>
      </w:r>
    </w:p>
    <w:p>
      <w:pPr>
        <w:pStyle w:val="ListParagraph"/>
        <w:numPr>
          <w:ilvl w:val="1"/>
          <w:numId w:val="8"/>
        </w:numPr>
        <w:tabs>
          <w:tab w:pos="2380" w:val="left" w:leader="none"/>
        </w:tabs>
        <w:spacing w:line="281" w:lineRule="exact" w:before="0" w:after="0"/>
        <w:ind w:left="2380" w:right="0" w:hanging="360"/>
        <w:jc w:val="left"/>
        <w:rPr>
          <w:b/>
          <w:i/>
          <w:sz w:val="24"/>
        </w:rPr>
      </w:pPr>
      <w:r>
        <w:rPr>
          <w:b/>
          <w:i/>
          <w:sz w:val="24"/>
        </w:rPr>
        <w:t>Protección al medio</w:t>
      </w:r>
      <w:r>
        <w:rPr>
          <w:b/>
          <w:i/>
          <w:spacing w:val="-18"/>
          <w:sz w:val="24"/>
        </w:rPr>
        <w:t> </w:t>
      </w:r>
      <w:r>
        <w:rPr>
          <w:b/>
          <w:i/>
          <w:sz w:val="24"/>
        </w:rPr>
        <w:t>ambiente</w:t>
      </w:r>
    </w:p>
    <w:p>
      <w:pPr>
        <w:pStyle w:val="BodyText"/>
        <w:spacing w:before="6"/>
        <w:rPr>
          <w:b/>
          <w:i/>
          <w:sz w:val="22"/>
        </w:rPr>
      </w:pPr>
    </w:p>
    <w:p>
      <w:pPr>
        <w:spacing w:line="232" w:lineRule="auto" w:before="0"/>
        <w:ind w:left="219" w:right="215" w:firstLine="0"/>
        <w:jc w:val="both"/>
        <w:rPr>
          <w:sz w:val="23"/>
        </w:rPr>
      </w:pPr>
      <w:r>
        <w:rPr>
          <w:sz w:val="23"/>
        </w:rPr>
        <w:t>Los objetivos estratégicos de </w:t>
      </w:r>
      <w:r>
        <w:rPr>
          <w:b/>
          <w:i/>
          <w:sz w:val="24"/>
        </w:rPr>
        <w:t>Disminuir el costo de la energía y Construir una infraestructura energética más segura y confiable </w:t>
      </w:r>
      <w:r>
        <w:rPr>
          <w:sz w:val="23"/>
        </w:rPr>
        <w:t>deben promover también el </w:t>
      </w:r>
      <w:r>
        <w:rPr>
          <w:b/>
          <w:i/>
          <w:sz w:val="24"/>
        </w:rPr>
        <w:t>Acceso universal a la energía</w:t>
      </w:r>
      <w:r>
        <w:rPr>
          <w:sz w:val="23"/>
        </w:rPr>
        <w:t>, el cual puede considerarse como un objetivo de naturaleza social derivado de los anteriores.</w:t>
      </w:r>
    </w:p>
    <w:p>
      <w:pPr>
        <w:pStyle w:val="BodyText"/>
      </w:pPr>
    </w:p>
    <w:p>
      <w:pPr>
        <w:spacing w:line="230" w:lineRule="auto" w:before="0"/>
        <w:ind w:left="220" w:right="215" w:hanging="1"/>
        <w:jc w:val="both"/>
        <w:rPr>
          <w:sz w:val="23"/>
        </w:rPr>
      </w:pPr>
      <w:r>
        <w:rPr>
          <w:sz w:val="23"/>
        </w:rPr>
        <w:t>Para el logro de estos </w:t>
      </w:r>
      <w:r>
        <w:rPr>
          <w:i/>
          <w:sz w:val="24"/>
        </w:rPr>
        <w:t>objetivos estratégicos </w:t>
      </w:r>
      <w:r>
        <w:rPr>
          <w:sz w:val="23"/>
        </w:rPr>
        <w:t>se requieren </w:t>
      </w:r>
      <w:r>
        <w:rPr>
          <w:i/>
          <w:sz w:val="24"/>
        </w:rPr>
        <w:t>estrategias sectoriales </w:t>
      </w:r>
      <w:r>
        <w:rPr>
          <w:sz w:val="23"/>
        </w:rPr>
        <w:t>las cuales denominamos </w:t>
      </w:r>
      <w:r>
        <w:rPr>
          <w:i/>
          <w:sz w:val="24"/>
        </w:rPr>
        <w:t>lineamientos estratégicos</w:t>
      </w:r>
      <w:r>
        <w:rPr>
          <w:sz w:val="23"/>
        </w:rPr>
        <w:t>, por su naturaleza indicativa</w:t>
      </w:r>
      <w:r>
        <w:rPr>
          <w:sz w:val="23"/>
          <w:vertAlign w:val="superscript"/>
        </w:rPr>
        <w:t>3</w:t>
      </w:r>
      <w:r>
        <w:rPr>
          <w:sz w:val="23"/>
          <w:vertAlign w:val="baseline"/>
        </w:rPr>
        <w:t>, encaminados a:</w:t>
      </w:r>
    </w:p>
    <w:p>
      <w:pPr>
        <w:pStyle w:val="BodyText"/>
        <w:spacing w:before="3"/>
      </w:pPr>
    </w:p>
    <w:p>
      <w:pPr>
        <w:pStyle w:val="ListParagraph"/>
        <w:numPr>
          <w:ilvl w:val="2"/>
          <w:numId w:val="7"/>
        </w:numPr>
        <w:tabs>
          <w:tab w:pos="939" w:val="left" w:leader="none"/>
          <w:tab w:pos="941" w:val="left" w:leader="none"/>
        </w:tabs>
        <w:spacing w:line="237" w:lineRule="auto" w:before="0" w:after="0"/>
        <w:ind w:left="940" w:right="216" w:hanging="360"/>
        <w:jc w:val="left"/>
        <w:rPr>
          <w:sz w:val="23"/>
        </w:rPr>
      </w:pPr>
      <w:r>
        <w:rPr>
          <w:sz w:val="23"/>
        </w:rPr>
        <w:t>Implementar nuevas políticas orientadas explícitamente a reducir la dependencia de fuentes externas, diversificar las fuentes y sustituir</w:t>
      </w:r>
      <w:r>
        <w:rPr>
          <w:spacing w:val="-3"/>
          <w:sz w:val="23"/>
        </w:rPr>
        <w:t> </w:t>
      </w:r>
      <w:r>
        <w:rPr>
          <w:sz w:val="23"/>
        </w:rPr>
        <w:t>importaciones.</w:t>
      </w:r>
    </w:p>
    <w:p>
      <w:pPr>
        <w:pStyle w:val="BodyText"/>
        <w:spacing w:before="1"/>
        <w:rPr>
          <w:sz w:val="24"/>
        </w:rPr>
      </w:pPr>
      <w:r>
        <w:rPr/>
        <w:pict>
          <v:rect style="position:absolute;margin-left:72pt;margin-top:16.522297pt;width:143.999997pt;height:.72pt;mso-position-horizontal-relative:page;mso-position-vertical-relative:paragraph;z-index:-15728128;mso-wrap-distance-left:0;mso-wrap-distance-right:0" filled="true" fillcolor="#000000" stroked="false">
            <v:fill type="solid"/>
            <w10:wrap type="topAndBottom"/>
          </v:rect>
        </w:pict>
      </w:r>
    </w:p>
    <w:p>
      <w:pPr>
        <w:spacing w:before="91"/>
        <w:ind w:left="219" w:right="216" w:hanging="1"/>
        <w:jc w:val="both"/>
        <w:rPr>
          <w:rFonts w:ascii="Verdana" w:hAnsi="Verdana"/>
          <w:sz w:val="20"/>
        </w:rPr>
      </w:pPr>
      <w:r>
        <w:rPr>
          <w:rFonts w:ascii="Verdana" w:hAnsi="Verdana"/>
          <w:sz w:val="20"/>
          <w:vertAlign w:val="superscript"/>
        </w:rPr>
        <w:t>2</w:t>
      </w:r>
      <w:r>
        <w:rPr>
          <w:rFonts w:ascii="Verdana" w:hAnsi="Verdana"/>
          <w:sz w:val="20"/>
          <w:vertAlign w:val="baseline"/>
        </w:rPr>
        <w:t> En mayo de 2004 el precio del petróleo supera los $40/barril. Un escenario de precios altos considera que el precio del petróleo se mantendrá por encima de este valor en el horizonte de</w:t>
      </w:r>
      <w:r>
        <w:rPr>
          <w:rFonts w:ascii="Verdana" w:hAnsi="Verdana"/>
          <w:spacing w:val="-2"/>
          <w:sz w:val="20"/>
          <w:vertAlign w:val="baseline"/>
        </w:rPr>
        <w:t> </w:t>
      </w:r>
      <w:r>
        <w:rPr>
          <w:rFonts w:ascii="Verdana" w:hAnsi="Verdana"/>
          <w:sz w:val="20"/>
          <w:vertAlign w:val="baseline"/>
        </w:rPr>
        <w:t>planeamiento.</w:t>
      </w:r>
    </w:p>
    <w:p>
      <w:pPr>
        <w:spacing w:before="1"/>
        <w:ind w:left="219" w:right="217" w:firstLine="0"/>
        <w:jc w:val="both"/>
        <w:rPr>
          <w:rFonts w:ascii="Verdana" w:hAnsi="Verdana"/>
          <w:sz w:val="20"/>
        </w:rPr>
      </w:pPr>
      <w:r>
        <w:rPr>
          <w:rFonts w:ascii="Verdana" w:hAnsi="Verdana"/>
          <w:sz w:val="20"/>
          <w:vertAlign w:val="superscript"/>
        </w:rPr>
        <w:t>3</w:t>
      </w:r>
      <w:r>
        <w:rPr>
          <w:rFonts w:ascii="Verdana" w:hAnsi="Verdana"/>
          <w:sz w:val="20"/>
          <w:vertAlign w:val="baseline"/>
        </w:rPr>
        <w:t> El PEN debe entenderse como un plan indicativo, por lo cual es apropiado hablar de </w:t>
      </w:r>
      <w:r>
        <w:rPr>
          <w:rFonts w:ascii="Verdana" w:hAnsi="Verdana"/>
          <w:i/>
          <w:sz w:val="20"/>
          <w:vertAlign w:val="baseline"/>
        </w:rPr>
        <w:t>lineamientos estratégicos</w:t>
      </w:r>
      <w:r>
        <w:rPr>
          <w:rFonts w:ascii="Verdana" w:hAnsi="Verdana"/>
          <w:sz w:val="20"/>
          <w:vertAlign w:val="baseline"/>
        </w:rPr>
        <w:t>, que tienen el propósito de </w:t>
      </w:r>
      <w:r>
        <w:rPr>
          <w:rFonts w:ascii="Verdana" w:hAnsi="Verdana"/>
          <w:sz w:val="20"/>
          <w:u w:val="single"/>
          <w:vertAlign w:val="baseline"/>
        </w:rPr>
        <w:t>guiar</w:t>
      </w:r>
      <w:r>
        <w:rPr>
          <w:rFonts w:ascii="Verdana" w:hAnsi="Verdana"/>
          <w:sz w:val="20"/>
          <w:vertAlign w:val="baseline"/>
        </w:rPr>
        <w:t> las políticas del estado y de los agentes del mercado.</w:t>
      </w:r>
    </w:p>
    <w:p>
      <w:pPr>
        <w:spacing w:after="0"/>
        <w:jc w:val="both"/>
        <w:rPr>
          <w:rFonts w:ascii="Verdana" w:hAnsi="Verdana"/>
          <w:sz w:val="20"/>
        </w:rPr>
        <w:sectPr>
          <w:pgSz w:w="12240" w:h="15840"/>
          <w:pgMar w:header="718" w:footer="954" w:top="1500" w:bottom="1140" w:left="1220" w:right="1220"/>
        </w:sectPr>
      </w:pPr>
    </w:p>
    <w:p>
      <w:pPr>
        <w:pStyle w:val="ListParagraph"/>
        <w:numPr>
          <w:ilvl w:val="2"/>
          <w:numId w:val="7"/>
        </w:numPr>
        <w:tabs>
          <w:tab w:pos="939" w:val="left" w:leader="none"/>
          <w:tab w:pos="940" w:val="left" w:leader="none"/>
        </w:tabs>
        <w:spacing w:line="281" w:lineRule="exact" w:before="114" w:after="0"/>
        <w:ind w:left="940" w:right="0" w:hanging="361"/>
        <w:jc w:val="left"/>
        <w:rPr>
          <w:sz w:val="23"/>
        </w:rPr>
      </w:pPr>
      <w:r>
        <w:rPr>
          <w:sz w:val="23"/>
        </w:rPr>
        <w:t>Identificar potencial de producción y exportación de</w:t>
      </w:r>
      <w:r>
        <w:rPr>
          <w:spacing w:val="-3"/>
          <w:sz w:val="23"/>
        </w:rPr>
        <w:t> </w:t>
      </w:r>
      <w:r>
        <w:rPr>
          <w:sz w:val="23"/>
        </w:rPr>
        <w:t>energía.</w:t>
      </w:r>
    </w:p>
    <w:p>
      <w:pPr>
        <w:pStyle w:val="ListParagraph"/>
        <w:numPr>
          <w:ilvl w:val="2"/>
          <w:numId w:val="7"/>
        </w:numPr>
        <w:tabs>
          <w:tab w:pos="939" w:val="left" w:leader="none"/>
          <w:tab w:pos="940" w:val="left" w:leader="none"/>
        </w:tabs>
        <w:spacing w:line="235" w:lineRule="auto" w:before="4" w:after="0"/>
        <w:ind w:left="939" w:right="216" w:hanging="360"/>
        <w:jc w:val="left"/>
        <w:rPr>
          <w:sz w:val="23"/>
        </w:rPr>
      </w:pPr>
      <w:r>
        <w:rPr>
          <w:sz w:val="23"/>
        </w:rPr>
        <w:t>Identificar tecnologías más eficientes y limpias, existentes o en proceso de entrar al mercado.</w:t>
      </w:r>
    </w:p>
    <w:p>
      <w:pPr>
        <w:pStyle w:val="ListParagraph"/>
        <w:numPr>
          <w:ilvl w:val="2"/>
          <w:numId w:val="7"/>
        </w:numPr>
        <w:tabs>
          <w:tab w:pos="939" w:val="left" w:leader="none"/>
          <w:tab w:pos="940" w:val="left" w:leader="none"/>
        </w:tabs>
        <w:spacing w:line="237" w:lineRule="auto" w:before="4" w:after="0"/>
        <w:ind w:left="939" w:right="215" w:hanging="360"/>
        <w:jc w:val="left"/>
        <w:rPr>
          <w:sz w:val="23"/>
        </w:rPr>
      </w:pPr>
      <w:r>
        <w:rPr>
          <w:sz w:val="23"/>
        </w:rPr>
        <w:t>Diseñar incentivos económicos y tributarios para la introducción de nuevas tecnologías y nuevos combustibles, en especial las fuentes de energía</w:t>
      </w:r>
      <w:r>
        <w:rPr>
          <w:spacing w:val="-23"/>
          <w:sz w:val="23"/>
        </w:rPr>
        <w:t> </w:t>
      </w:r>
      <w:r>
        <w:rPr>
          <w:sz w:val="23"/>
        </w:rPr>
        <w:t>renovables.</w:t>
      </w:r>
    </w:p>
    <w:p>
      <w:pPr>
        <w:pStyle w:val="ListParagraph"/>
        <w:numPr>
          <w:ilvl w:val="2"/>
          <w:numId w:val="7"/>
        </w:numPr>
        <w:tabs>
          <w:tab w:pos="939" w:val="left" w:leader="none"/>
          <w:tab w:pos="940" w:val="left" w:leader="none"/>
          <w:tab w:pos="3047" w:val="left" w:leader="none"/>
        </w:tabs>
        <w:spacing w:line="235" w:lineRule="auto" w:before="5" w:after="0"/>
        <w:ind w:left="939" w:right="217" w:hanging="360"/>
        <w:jc w:val="left"/>
        <w:rPr>
          <w:sz w:val="23"/>
        </w:rPr>
      </w:pPr>
      <w:r>
        <w:rPr>
          <w:sz w:val="23"/>
        </w:rPr>
        <w:t>Establecer</w:t>
      </w:r>
      <w:r>
        <w:rPr>
          <w:spacing w:val="29"/>
          <w:sz w:val="23"/>
        </w:rPr>
        <w:t> </w:t>
      </w:r>
      <w:r>
        <w:rPr>
          <w:sz w:val="23"/>
        </w:rPr>
        <w:t>normas</w:t>
        <w:tab/>
        <w:t>y estándares para el equipamiento en aparatos de uso final y construcción de</w:t>
      </w:r>
      <w:r>
        <w:rPr>
          <w:spacing w:val="-1"/>
          <w:sz w:val="23"/>
        </w:rPr>
        <w:t> </w:t>
      </w:r>
      <w:r>
        <w:rPr>
          <w:sz w:val="23"/>
        </w:rPr>
        <w:t>edificaciones.</w:t>
      </w:r>
    </w:p>
    <w:p>
      <w:pPr>
        <w:pStyle w:val="ListParagraph"/>
        <w:numPr>
          <w:ilvl w:val="2"/>
          <w:numId w:val="7"/>
        </w:numPr>
        <w:tabs>
          <w:tab w:pos="939" w:val="left" w:leader="none"/>
          <w:tab w:pos="940" w:val="left" w:leader="none"/>
          <w:tab w:pos="2751" w:val="left" w:leader="none"/>
          <w:tab w:pos="3688" w:val="left" w:leader="none"/>
          <w:tab w:pos="4007" w:val="left" w:leader="none"/>
          <w:tab w:pos="5241" w:val="left" w:leader="none"/>
          <w:tab w:pos="5695" w:val="left" w:leader="none"/>
          <w:tab w:pos="6800" w:val="left" w:leader="none"/>
          <w:tab w:pos="8221" w:val="left" w:leader="none"/>
          <w:tab w:pos="9407" w:val="left" w:leader="none"/>
        </w:tabs>
        <w:spacing w:line="235" w:lineRule="auto" w:before="9" w:after="0"/>
        <w:ind w:left="939" w:right="217" w:hanging="360"/>
        <w:jc w:val="left"/>
        <w:rPr>
          <w:sz w:val="23"/>
        </w:rPr>
      </w:pPr>
      <w:r>
        <w:rPr>
          <w:sz w:val="23"/>
        </w:rPr>
        <w:t>Caracterización,</w:t>
        <w:tab/>
        <w:t>análisis</w:t>
        <w:tab/>
        <w:t>y</w:t>
        <w:tab/>
        <w:t>valoración</w:t>
        <w:tab/>
        <w:t>de</w:t>
        <w:tab/>
        <w:t>impactos</w:t>
        <w:tab/>
        <w:t>ambientales</w:t>
        <w:tab/>
        <w:t>asociados</w:t>
        <w:tab/>
      </w:r>
      <w:r>
        <w:rPr>
          <w:spacing w:val="-10"/>
          <w:sz w:val="23"/>
        </w:rPr>
        <w:t>al </w:t>
      </w:r>
      <w:r>
        <w:rPr>
          <w:sz w:val="23"/>
        </w:rPr>
        <w:t>desarrollo del subsector, de los planes de expansión y de las</w:t>
      </w:r>
      <w:r>
        <w:rPr>
          <w:spacing w:val="-10"/>
          <w:sz w:val="23"/>
        </w:rPr>
        <w:t> </w:t>
      </w:r>
      <w:r>
        <w:rPr>
          <w:sz w:val="23"/>
        </w:rPr>
        <w:t>tecnologías.</w:t>
      </w:r>
    </w:p>
    <w:p>
      <w:pPr>
        <w:pStyle w:val="ListParagraph"/>
        <w:numPr>
          <w:ilvl w:val="2"/>
          <w:numId w:val="7"/>
        </w:numPr>
        <w:tabs>
          <w:tab w:pos="939" w:val="left" w:leader="none"/>
          <w:tab w:pos="940" w:val="left" w:leader="none"/>
        </w:tabs>
        <w:spacing w:line="280" w:lineRule="exact" w:before="4" w:after="0"/>
        <w:ind w:left="939" w:right="0" w:hanging="361"/>
        <w:jc w:val="left"/>
        <w:rPr>
          <w:sz w:val="23"/>
        </w:rPr>
      </w:pPr>
      <w:r>
        <w:rPr>
          <w:sz w:val="23"/>
        </w:rPr>
        <w:t>Racionalizar el esquema institucional y</w:t>
      </w:r>
      <w:r>
        <w:rPr>
          <w:spacing w:val="-8"/>
          <w:sz w:val="23"/>
        </w:rPr>
        <w:t> </w:t>
      </w:r>
      <w:r>
        <w:rPr>
          <w:sz w:val="23"/>
        </w:rPr>
        <w:t>normativo.</w:t>
      </w:r>
    </w:p>
    <w:p>
      <w:pPr>
        <w:pStyle w:val="ListParagraph"/>
        <w:numPr>
          <w:ilvl w:val="2"/>
          <w:numId w:val="7"/>
        </w:numPr>
        <w:tabs>
          <w:tab w:pos="939" w:val="left" w:leader="none"/>
          <w:tab w:pos="940" w:val="left" w:leader="none"/>
        </w:tabs>
        <w:spacing w:line="235" w:lineRule="auto" w:before="3" w:after="0"/>
        <w:ind w:left="939" w:right="215" w:hanging="360"/>
        <w:jc w:val="left"/>
        <w:rPr>
          <w:sz w:val="23"/>
        </w:rPr>
      </w:pPr>
      <w:r>
        <w:rPr>
          <w:sz w:val="23"/>
        </w:rPr>
        <w:t>Identificación de fuentes de financiamiento internacional y uso de los mecanismos de desarrollo limpio (bonos de</w:t>
      </w:r>
      <w:r>
        <w:rPr>
          <w:spacing w:val="1"/>
          <w:sz w:val="23"/>
        </w:rPr>
        <w:t> </w:t>
      </w:r>
      <w:r>
        <w:rPr>
          <w:sz w:val="23"/>
        </w:rPr>
        <w:t>carbono)</w:t>
      </w:r>
    </w:p>
    <w:p>
      <w:pPr>
        <w:pStyle w:val="BodyText"/>
        <w:spacing w:before="8"/>
        <w:rPr>
          <w:sz w:val="22"/>
        </w:rPr>
      </w:pPr>
    </w:p>
    <w:p>
      <w:pPr>
        <w:spacing w:line="235" w:lineRule="auto" w:before="0"/>
        <w:ind w:left="219" w:right="215" w:hanging="1"/>
        <w:jc w:val="both"/>
        <w:rPr>
          <w:sz w:val="23"/>
        </w:rPr>
      </w:pPr>
      <w:r>
        <w:rPr>
          <w:sz w:val="23"/>
        </w:rPr>
        <w:t>El PEN se estructurará alrededor de los cinco </w:t>
      </w:r>
      <w:r>
        <w:rPr>
          <w:i/>
          <w:sz w:val="24"/>
        </w:rPr>
        <w:t>objetivos estratégicos</w:t>
      </w:r>
      <w:r>
        <w:rPr>
          <w:sz w:val="23"/>
        </w:rPr>
        <w:t>, en sendos capítulos. Para cada </w:t>
      </w:r>
      <w:r>
        <w:rPr>
          <w:i/>
          <w:sz w:val="24"/>
        </w:rPr>
        <w:t>objetivo estratégico </w:t>
      </w:r>
      <w:r>
        <w:rPr>
          <w:sz w:val="23"/>
        </w:rPr>
        <w:t>se identificarán y describirán los </w:t>
      </w:r>
      <w:r>
        <w:rPr>
          <w:i/>
          <w:sz w:val="24"/>
        </w:rPr>
        <w:t>lineamientos estratégicos </w:t>
      </w:r>
      <w:r>
        <w:rPr>
          <w:sz w:val="23"/>
        </w:rPr>
        <w:t>que definen las políticas del Estado para su logro dentro del horizonte 2010-2025.</w:t>
      </w:r>
    </w:p>
    <w:p>
      <w:pPr>
        <w:pStyle w:val="BodyText"/>
        <w:spacing w:before="5"/>
        <w:rPr>
          <w:sz w:val="22"/>
        </w:rPr>
      </w:pPr>
    </w:p>
    <w:p>
      <w:pPr>
        <w:spacing w:line="235" w:lineRule="auto" w:before="1"/>
        <w:ind w:left="219" w:right="214" w:firstLine="0"/>
        <w:jc w:val="both"/>
        <w:rPr>
          <w:sz w:val="23"/>
        </w:rPr>
      </w:pPr>
      <w:r>
        <w:rPr>
          <w:sz w:val="23"/>
        </w:rPr>
        <w:t>Los objetivos correspondientes a </w:t>
      </w:r>
      <w:r>
        <w:rPr>
          <w:b/>
          <w:i/>
          <w:sz w:val="24"/>
        </w:rPr>
        <w:t>Disminuir el costo de la energía, Construir una infraestructura energética más segura y confiable y Acceso universal a la electricidad </w:t>
      </w:r>
      <w:r>
        <w:rPr>
          <w:sz w:val="23"/>
        </w:rPr>
        <w:t>se estructuran conjuntamente en el Capítulo 3 debido a que sus lineamientos estratégicos coinciden en muchos aspectos y se refuerzan mutuamente y, en consecuencia, resulta inconveniente separarlos. En la mayoría de los casos, los lineamientos orientados a disminuir el coste de la energía aportan simultáneamente a una infraestructura más confiable y viceversa.</w:t>
      </w:r>
    </w:p>
    <w:p>
      <w:pPr>
        <w:pStyle w:val="BodyText"/>
        <w:spacing w:before="9"/>
      </w:pPr>
    </w:p>
    <w:p>
      <w:pPr>
        <w:spacing w:line="230" w:lineRule="auto" w:before="0"/>
        <w:ind w:left="219" w:right="213" w:firstLine="0"/>
        <w:jc w:val="both"/>
        <w:rPr>
          <w:b/>
          <w:i/>
          <w:sz w:val="24"/>
        </w:rPr>
      </w:pPr>
      <w:r>
        <w:rPr>
          <w:sz w:val="23"/>
        </w:rPr>
        <w:t>El Capítulo 2 se ocupa del tema de </w:t>
      </w:r>
      <w:r>
        <w:rPr>
          <w:b/>
          <w:i/>
          <w:sz w:val="24"/>
        </w:rPr>
        <w:t>Incrementar la oferta de energía doméstica</w:t>
      </w:r>
      <w:r>
        <w:rPr>
          <w:sz w:val="23"/>
        </w:rPr>
        <w:t>; el Capítulo 3 aborda los temas de </w:t>
      </w:r>
      <w:r>
        <w:rPr>
          <w:b/>
          <w:i/>
          <w:sz w:val="24"/>
        </w:rPr>
        <w:t>Disminuir el costo de la energía y Desarrollar una oferta energética segura y confiable</w:t>
      </w:r>
      <w:r>
        <w:rPr>
          <w:sz w:val="23"/>
        </w:rPr>
        <w:t>; el Capítulo 4 el tema de </w:t>
      </w:r>
      <w:r>
        <w:rPr>
          <w:b/>
          <w:i/>
          <w:sz w:val="24"/>
        </w:rPr>
        <w:t>Incrementar la eficiencia energética y el uso racional de energía </w:t>
      </w:r>
      <w:r>
        <w:rPr>
          <w:sz w:val="23"/>
        </w:rPr>
        <w:t>y, finalmente, el Capítulo 5 la </w:t>
      </w:r>
      <w:r>
        <w:rPr>
          <w:b/>
          <w:i/>
          <w:sz w:val="24"/>
        </w:rPr>
        <w:t>Protección al medio ambiente</w:t>
      </w:r>
    </w:p>
    <w:p>
      <w:pPr>
        <w:spacing w:after="0" w:line="230" w:lineRule="auto"/>
        <w:jc w:val="both"/>
        <w:rPr>
          <w:sz w:val="24"/>
        </w:rPr>
        <w:sectPr>
          <w:pgSz w:w="12240" w:h="15840"/>
          <w:pgMar w:header="718" w:footer="954" w:top="1500" w:bottom="1140" w:left="1220" w:right="1220"/>
        </w:sectPr>
      </w:pPr>
    </w:p>
    <w:p>
      <w:pPr>
        <w:pStyle w:val="BodyText"/>
        <w:spacing w:before="4"/>
        <w:rPr>
          <w:b/>
          <w:i/>
          <w:sz w:val="27"/>
        </w:rPr>
      </w:pPr>
    </w:p>
    <w:p>
      <w:pPr>
        <w:pStyle w:val="Heading1"/>
        <w:rPr>
          <w:rFonts w:ascii="Arial" w:hAnsi="Arial"/>
        </w:rPr>
      </w:pPr>
      <w:r>
        <w:rPr>
          <w:rFonts w:ascii="Arial" w:hAnsi="Arial"/>
        </w:rPr>
        <w:t>CAPÍTULO 2</w:t>
      </w:r>
    </w:p>
    <w:p>
      <w:pPr>
        <w:pStyle w:val="BodyText"/>
        <w:rPr>
          <w:rFonts w:ascii="Arial"/>
          <w:b/>
          <w:sz w:val="28"/>
        </w:rPr>
      </w:pPr>
    </w:p>
    <w:p>
      <w:pPr>
        <w:pStyle w:val="BodyText"/>
        <w:rPr>
          <w:rFonts w:ascii="Arial"/>
          <w:b/>
          <w:sz w:val="28"/>
        </w:rPr>
      </w:pPr>
    </w:p>
    <w:p>
      <w:pPr>
        <w:pStyle w:val="Heading2"/>
        <w:ind w:left="522" w:right="523" w:firstLine="0"/>
        <w:jc w:val="center"/>
      </w:pPr>
      <w:bookmarkStart w:name="_TOC_250094" w:id="5"/>
      <w:bookmarkEnd w:id="5"/>
      <w:r>
        <w:rPr/>
        <w:t>INCREMENTAR LA OFERTA DE ENERGÍA DOMÉSTICA</w:t>
      </w:r>
    </w:p>
    <w:p>
      <w:pPr>
        <w:pStyle w:val="BodyText"/>
        <w:spacing w:before="8"/>
        <w:rPr>
          <w:rFonts w:ascii="Verdana"/>
          <w:b/>
          <w:sz w:val="47"/>
        </w:rPr>
      </w:pPr>
    </w:p>
    <w:p>
      <w:pPr>
        <w:pStyle w:val="BodyText"/>
        <w:ind w:left="219" w:right="214"/>
        <w:jc w:val="both"/>
      </w:pPr>
      <w:r>
        <w:rPr/>
        <w:t>El hecho más importante y determinante para el sector energético dominicano es sin duda la alta dependencia de la importación de energía y la baja producción</w:t>
      </w:r>
      <w:r>
        <w:rPr>
          <w:spacing w:val="-17"/>
        </w:rPr>
        <w:t> </w:t>
      </w:r>
      <w:r>
        <w:rPr/>
        <w:t>nacional.</w:t>
      </w:r>
    </w:p>
    <w:p>
      <w:pPr>
        <w:pStyle w:val="BodyText"/>
      </w:pPr>
    </w:p>
    <w:p>
      <w:pPr>
        <w:pStyle w:val="BodyText"/>
        <w:ind w:left="219" w:right="214"/>
        <w:jc w:val="both"/>
      </w:pPr>
      <w:r>
        <w:rPr/>
        <w:t>Dado que la República Dominicana no dispone actualmente de reservas petroleras ni de gas natural, es altamente dependiente de las importaciones de hidrocarburos ya que de la oferta total el 86% es importado. La mayor parte de la energía primaria que se importa es en forma de petróleo (cerca del 80%) y el resto es gas natural y carbón, con una tasa de crecimiento anual 2001-2005 de</w:t>
      </w:r>
      <w:r>
        <w:rPr>
          <w:spacing w:val="-1"/>
        </w:rPr>
        <w:t> </w:t>
      </w:r>
      <w:r>
        <w:rPr/>
        <w:t>2.3%.</w:t>
      </w:r>
    </w:p>
    <w:p>
      <w:pPr>
        <w:pStyle w:val="BodyText"/>
      </w:pPr>
    </w:p>
    <w:p>
      <w:pPr>
        <w:pStyle w:val="BodyText"/>
        <w:ind w:left="219" w:right="215"/>
        <w:jc w:val="both"/>
      </w:pPr>
      <w:r>
        <w:rPr/>
        <w:t>Como consecuencia, y por efecto de los incrementos de precios, la factura por concepto de petróleo y gas natural de la República Dominicana casi se triplicó en cinco años al pasar de 307 a 866 millones de dólares (Tabla 2.1).</w:t>
      </w:r>
    </w:p>
    <w:p>
      <w:pPr>
        <w:pStyle w:val="BodyText"/>
        <w:spacing w:before="10"/>
        <w:rPr>
          <w:sz w:val="29"/>
        </w:rPr>
      </w:pPr>
    </w:p>
    <w:p>
      <w:pPr>
        <w:pStyle w:val="Heading9"/>
        <w:ind w:left="990" w:right="987"/>
        <w:jc w:val="center"/>
      </w:pPr>
      <w:r>
        <w:rPr/>
        <w:t>Tabla 2.1 - Valor estimado de las importaciones de energía primaria 2001-2005 (Millones US$)</w:t>
      </w:r>
    </w:p>
    <w:p>
      <w:pPr>
        <w:pStyle w:val="BodyText"/>
        <w:spacing w:before="2"/>
        <w:rPr>
          <w:b/>
        </w:rPr>
      </w:pPr>
    </w:p>
    <w:tbl>
      <w:tblPr>
        <w:tblW w:w="0" w:type="auto"/>
        <w:jc w:val="left"/>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1440"/>
        <w:gridCol w:w="1080"/>
        <w:gridCol w:w="1080"/>
        <w:gridCol w:w="1260"/>
        <w:gridCol w:w="989"/>
      </w:tblGrid>
      <w:tr>
        <w:trPr>
          <w:trHeight w:val="268" w:hRule="atLeast"/>
        </w:trPr>
        <w:tc>
          <w:tcPr>
            <w:tcW w:w="2628" w:type="dxa"/>
            <w:shd w:val="clear" w:color="auto" w:fill="CCCCCC"/>
          </w:tcPr>
          <w:p>
            <w:pPr>
              <w:pStyle w:val="TableParagraph"/>
              <w:spacing w:line="248" w:lineRule="exact"/>
              <w:ind w:left="755"/>
              <w:rPr>
                <w:rFonts w:ascii="Verdana"/>
                <w:b/>
                <w:sz w:val="22"/>
              </w:rPr>
            </w:pPr>
            <w:r>
              <w:rPr>
                <w:rFonts w:ascii="Verdana"/>
                <w:b/>
                <w:sz w:val="22"/>
              </w:rPr>
              <w:t>Producto</w:t>
            </w:r>
          </w:p>
        </w:tc>
        <w:tc>
          <w:tcPr>
            <w:tcW w:w="1440" w:type="dxa"/>
            <w:shd w:val="clear" w:color="auto" w:fill="CCCCCC"/>
          </w:tcPr>
          <w:p>
            <w:pPr>
              <w:pStyle w:val="TableParagraph"/>
              <w:spacing w:line="248" w:lineRule="exact"/>
              <w:ind w:left="405"/>
              <w:rPr>
                <w:rFonts w:ascii="Verdana"/>
                <w:b/>
                <w:sz w:val="22"/>
              </w:rPr>
            </w:pPr>
            <w:r>
              <w:rPr>
                <w:rFonts w:ascii="Verdana"/>
                <w:b/>
                <w:sz w:val="22"/>
              </w:rPr>
              <w:t>2001</w:t>
            </w:r>
          </w:p>
        </w:tc>
        <w:tc>
          <w:tcPr>
            <w:tcW w:w="1080" w:type="dxa"/>
            <w:shd w:val="clear" w:color="auto" w:fill="CCCCCC"/>
          </w:tcPr>
          <w:p>
            <w:pPr>
              <w:pStyle w:val="TableParagraph"/>
              <w:spacing w:line="248" w:lineRule="exact"/>
              <w:ind w:left="225"/>
              <w:rPr>
                <w:rFonts w:ascii="Verdana"/>
                <w:b/>
                <w:sz w:val="22"/>
              </w:rPr>
            </w:pPr>
            <w:r>
              <w:rPr>
                <w:rFonts w:ascii="Verdana"/>
                <w:b/>
                <w:sz w:val="22"/>
              </w:rPr>
              <w:t>2002</w:t>
            </w:r>
          </w:p>
        </w:tc>
        <w:tc>
          <w:tcPr>
            <w:tcW w:w="1080" w:type="dxa"/>
            <w:shd w:val="clear" w:color="auto" w:fill="CCCCCC"/>
          </w:tcPr>
          <w:p>
            <w:pPr>
              <w:pStyle w:val="TableParagraph"/>
              <w:spacing w:line="248" w:lineRule="exact"/>
              <w:ind w:left="225"/>
              <w:rPr>
                <w:rFonts w:ascii="Verdana"/>
                <w:b/>
                <w:sz w:val="22"/>
              </w:rPr>
            </w:pPr>
            <w:r>
              <w:rPr>
                <w:rFonts w:ascii="Verdana"/>
                <w:b/>
                <w:sz w:val="22"/>
              </w:rPr>
              <w:t>2003</w:t>
            </w:r>
          </w:p>
        </w:tc>
        <w:tc>
          <w:tcPr>
            <w:tcW w:w="1260" w:type="dxa"/>
            <w:shd w:val="clear" w:color="auto" w:fill="CCCCCC"/>
          </w:tcPr>
          <w:p>
            <w:pPr>
              <w:pStyle w:val="TableParagraph"/>
              <w:spacing w:line="248" w:lineRule="exact"/>
              <w:ind w:left="316"/>
              <w:rPr>
                <w:rFonts w:ascii="Verdana"/>
                <w:b/>
                <w:sz w:val="22"/>
              </w:rPr>
            </w:pPr>
            <w:r>
              <w:rPr>
                <w:rFonts w:ascii="Verdana"/>
                <w:b/>
                <w:sz w:val="22"/>
              </w:rPr>
              <w:t>2004</w:t>
            </w:r>
          </w:p>
        </w:tc>
        <w:tc>
          <w:tcPr>
            <w:tcW w:w="989" w:type="dxa"/>
            <w:shd w:val="clear" w:color="auto" w:fill="CCCCCC"/>
          </w:tcPr>
          <w:p>
            <w:pPr>
              <w:pStyle w:val="TableParagraph"/>
              <w:spacing w:line="248" w:lineRule="exact"/>
              <w:ind w:left="179"/>
              <w:rPr>
                <w:rFonts w:ascii="Verdana"/>
                <w:b/>
                <w:sz w:val="22"/>
              </w:rPr>
            </w:pPr>
            <w:r>
              <w:rPr>
                <w:rFonts w:ascii="Verdana"/>
                <w:b/>
                <w:sz w:val="22"/>
              </w:rPr>
              <w:t>2005</w:t>
            </w:r>
          </w:p>
        </w:tc>
      </w:tr>
      <w:tr>
        <w:trPr>
          <w:trHeight w:val="268" w:hRule="atLeast"/>
        </w:trPr>
        <w:tc>
          <w:tcPr>
            <w:tcW w:w="2628" w:type="dxa"/>
            <w:shd w:val="clear" w:color="auto" w:fill="CCCCCC"/>
          </w:tcPr>
          <w:p>
            <w:pPr>
              <w:pStyle w:val="TableParagraph"/>
              <w:spacing w:line="248" w:lineRule="exact"/>
              <w:ind w:left="107"/>
              <w:rPr>
                <w:rFonts w:ascii="Verdana" w:hAnsi="Verdana"/>
                <w:b/>
                <w:i/>
                <w:sz w:val="22"/>
              </w:rPr>
            </w:pPr>
            <w:r>
              <w:rPr>
                <w:rFonts w:ascii="Verdana" w:hAnsi="Verdana"/>
                <w:b/>
                <w:i/>
                <w:sz w:val="22"/>
              </w:rPr>
              <w:t>Petróleo Crudo</w:t>
            </w:r>
          </w:p>
        </w:tc>
        <w:tc>
          <w:tcPr>
            <w:tcW w:w="1440" w:type="dxa"/>
          </w:tcPr>
          <w:p>
            <w:pPr>
              <w:pStyle w:val="TableParagraph"/>
              <w:spacing w:line="248" w:lineRule="exact"/>
              <w:ind w:right="97"/>
              <w:jc w:val="right"/>
              <w:rPr>
                <w:rFonts w:ascii="Verdana"/>
                <w:sz w:val="22"/>
              </w:rPr>
            </w:pPr>
            <w:r>
              <w:rPr>
                <w:rFonts w:ascii="Verdana"/>
                <w:sz w:val="22"/>
              </w:rPr>
              <w:t>307</w:t>
            </w:r>
          </w:p>
        </w:tc>
        <w:tc>
          <w:tcPr>
            <w:tcW w:w="1080" w:type="dxa"/>
          </w:tcPr>
          <w:p>
            <w:pPr>
              <w:pStyle w:val="TableParagraph"/>
              <w:spacing w:line="248" w:lineRule="exact"/>
              <w:ind w:right="97"/>
              <w:jc w:val="right"/>
              <w:rPr>
                <w:rFonts w:ascii="Verdana"/>
                <w:sz w:val="22"/>
              </w:rPr>
            </w:pPr>
            <w:r>
              <w:rPr>
                <w:rFonts w:ascii="Verdana"/>
                <w:sz w:val="22"/>
              </w:rPr>
              <w:t>349</w:t>
            </w:r>
          </w:p>
        </w:tc>
        <w:tc>
          <w:tcPr>
            <w:tcW w:w="1080" w:type="dxa"/>
          </w:tcPr>
          <w:p>
            <w:pPr>
              <w:pStyle w:val="TableParagraph"/>
              <w:spacing w:line="248" w:lineRule="exact"/>
              <w:ind w:right="97"/>
              <w:jc w:val="right"/>
              <w:rPr>
                <w:rFonts w:ascii="Verdana"/>
                <w:sz w:val="22"/>
              </w:rPr>
            </w:pPr>
            <w:r>
              <w:rPr>
                <w:rFonts w:ascii="Verdana"/>
                <w:sz w:val="22"/>
              </w:rPr>
              <w:t>311</w:t>
            </w:r>
          </w:p>
        </w:tc>
        <w:tc>
          <w:tcPr>
            <w:tcW w:w="1260" w:type="dxa"/>
          </w:tcPr>
          <w:p>
            <w:pPr>
              <w:pStyle w:val="TableParagraph"/>
              <w:spacing w:line="248" w:lineRule="exact"/>
              <w:ind w:right="97"/>
              <w:jc w:val="right"/>
              <w:rPr>
                <w:rFonts w:ascii="Verdana"/>
                <w:sz w:val="22"/>
              </w:rPr>
            </w:pPr>
            <w:r>
              <w:rPr>
                <w:rFonts w:ascii="Verdana"/>
                <w:sz w:val="22"/>
              </w:rPr>
              <w:t>579</w:t>
            </w:r>
          </w:p>
        </w:tc>
        <w:tc>
          <w:tcPr>
            <w:tcW w:w="989" w:type="dxa"/>
          </w:tcPr>
          <w:p>
            <w:pPr>
              <w:pStyle w:val="TableParagraph"/>
              <w:spacing w:line="248" w:lineRule="exact"/>
              <w:ind w:right="97"/>
              <w:jc w:val="right"/>
              <w:rPr>
                <w:rFonts w:ascii="Verdana"/>
                <w:sz w:val="22"/>
              </w:rPr>
            </w:pPr>
            <w:r>
              <w:rPr>
                <w:rFonts w:ascii="Verdana"/>
                <w:sz w:val="22"/>
              </w:rPr>
              <w:t>792</w:t>
            </w:r>
          </w:p>
        </w:tc>
      </w:tr>
      <w:tr>
        <w:trPr>
          <w:trHeight w:val="265" w:hRule="atLeast"/>
        </w:trPr>
        <w:tc>
          <w:tcPr>
            <w:tcW w:w="2628" w:type="dxa"/>
            <w:shd w:val="clear" w:color="auto" w:fill="CCCCCC"/>
          </w:tcPr>
          <w:p>
            <w:pPr>
              <w:pStyle w:val="TableParagraph"/>
              <w:spacing w:line="246" w:lineRule="exact"/>
              <w:ind w:left="107"/>
              <w:rPr>
                <w:rFonts w:ascii="Verdana"/>
                <w:b/>
                <w:i/>
                <w:sz w:val="22"/>
              </w:rPr>
            </w:pPr>
            <w:r>
              <w:rPr>
                <w:rFonts w:ascii="Verdana"/>
                <w:b/>
                <w:i/>
                <w:sz w:val="22"/>
              </w:rPr>
              <w:t>Gas Natural</w:t>
            </w:r>
          </w:p>
        </w:tc>
        <w:tc>
          <w:tcPr>
            <w:tcW w:w="1440" w:type="dxa"/>
          </w:tcPr>
          <w:p>
            <w:pPr>
              <w:pStyle w:val="TableParagraph"/>
              <w:spacing w:line="246" w:lineRule="exact"/>
              <w:ind w:right="95"/>
              <w:jc w:val="right"/>
              <w:rPr>
                <w:rFonts w:ascii="Verdana"/>
                <w:sz w:val="22"/>
              </w:rPr>
            </w:pPr>
            <w:r>
              <w:rPr>
                <w:rFonts w:ascii="Verdana"/>
                <w:w w:val="100"/>
                <w:sz w:val="22"/>
              </w:rPr>
              <w:t>0</w:t>
            </w:r>
          </w:p>
        </w:tc>
        <w:tc>
          <w:tcPr>
            <w:tcW w:w="1080" w:type="dxa"/>
          </w:tcPr>
          <w:p>
            <w:pPr>
              <w:pStyle w:val="TableParagraph"/>
              <w:spacing w:line="246" w:lineRule="exact"/>
              <w:ind w:right="95"/>
              <w:jc w:val="right"/>
              <w:rPr>
                <w:rFonts w:ascii="Verdana"/>
                <w:sz w:val="22"/>
              </w:rPr>
            </w:pPr>
            <w:r>
              <w:rPr>
                <w:rFonts w:ascii="Verdana"/>
                <w:w w:val="100"/>
                <w:sz w:val="22"/>
              </w:rPr>
              <w:t>0</w:t>
            </w:r>
          </w:p>
        </w:tc>
        <w:tc>
          <w:tcPr>
            <w:tcW w:w="1080" w:type="dxa"/>
          </w:tcPr>
          <w:p>
            <w:pPr>
              <w:pStyle w:val="TableParagraph"/>
              <w:spacing w:line="246" w:lineRule="exact"/>
              <w:ind w:right="97"/>
              <w:jc w:val="right"/>
              <w:rPr>
                <w:rFonts w:ascii="Verdana"/>
                <w:sz w:val="22"/>
              </w:rPr>
            </w:pPr>
            <w:r>
              <w:rPr>
                <w:rFonts w:ascii="Verdana"/>
                <w:sz w:val="22"/>
              </w:rPr>
              <w:t>54</w:t>
            </w:r>
          </w:p>
        </w:tc>
        <w:tc>
          <w:tcPr>
            <w:tcW w:w="1260" w:type="dxa"/>
          </w:tcPr>
          <w:p>
            <w:pPr>
              <w:pStyle w:val="TableParagraph"/>
              <w:spacing w:line="246" w:lineRule="exact"/>
              <w:ind w:right="97"/>
              <w:jc w:val="right"/>
              <w:rPr>
                <w:rFonts w:ascii="Verdana"/>
                <w:sz w:val="22"/>
              </w:rPr>
            </w:pPr>
            <w:r>
              <w:rPr>
                <w:rFonts w:ascii="Verdana"/>
                <w:sz w:val="22"/>
              </w:rPr>
              <w:t>27</w:t>
            </w:r>
          </w:p>
        </w:tc>
        <w:tc>
          <w:tcPr>
            <w:tcW w:w="989" w:type="dxa"/>
          </w:tcPr>
          <w:p>
            <w:pPr>
              <w:pStyle w:val="TableParagraph"/>
              <w:spacing w:line="246" w:lineRule="exact"/>
              <w:ind w:right="97"/>
              <w:jc w:val="right"/>
              <w:rPr>
                <w:rFonts w:ascii="Verdana"/>
                <w:sz w:val="22"/>
              </w:rPr>
            </w:pPr>
            <w:r>
              <w:rPr>
                <w:rFonts w:ascii="Verdana"/>
                <w:sz w:val="22"/>
              </w:rPr>
              <w:t>74</w:t>
            </w:r>
          </w:p>
        </w:tc>
      </w:tr>
      <w:tr>
        <w:trPr>
          <w:trHeight w:val="268" w:hRule="atLeast"/>
        </w:trPr>
        <w:tc>
          <w:tcPr>
            <w:tcW w:w="2628" w:type="dxa"/>
            <w:shd w:val="clear" w:color="auto" w:fill="CCCCCC"/>
          </w:tcPr>
          <w:p>
            <w:pPr>
              <w:pStyle w:val="TableParagraph"/>
              <w:spacing w:line="248" w:lineRule="exact"/>
              <w:ind w:left="107"/>
              <w:rPr>
                <w:rFonts w:ascii="Verdana"/>
                <w:b/>
                <w:sz w:val="22"/>
              </w:rPr>
            </w:pPr>
            <w:r>
              <w:rPr>
                <w:rFonts w:ascii="Verdana"/>
                <w:b/>
                <w:sz w:val="22"/>
              </w:rPr>
              <w:t>TOTAL</w:t>
            </w:r>
          </w:p>
        </w:tc>
        <w:tc>
          <w:tcPr>
            <w:tcW w:w="1440" w:type="dxa"/>
            <w:shd w:val="clear" w:color="auto" w:fill="CCCCCC"/>
          </w:tcPr>
          <w:p>
            <w:pPr>
              <w:pStyle w:val="TableParagraph"/>
              <w:spacing w:line="248" w:lineRule="exact"/>
              <w:ind w:right="97"/>
              <w:jc w:val="right"/>
              <w:rPr>
                <w:rFonts w:ascii="Verdana"/>
                <w:b/>
                <w:sz w:val="22"/>
              </w:rPr>
            </w:pPr>
            <w:r>
              <w:rPr>
                <w:rFonts w:ascii="Verdana"/>
                <w:b/>
                <w:sz w:val="22"/>
              </w:rPr>
              <w:t>307</w:t>
            </w:r>
          </w:p>
        </w:tc>
        <w:tc>
          <w:tcPr>
            <w:tcW w:w="1080" w:type="dxa"/>
            <w:shd w:val="clear" w:color="auto" w:fill="CCCCCC"/>
          </w:tcPr>
          <w:p>
            <w:pPr>
              <w:pStyle w:val="TableParagraph"/>
              <w:spacing w:line="248" w:lineRule="exact"/>
              <w:ind w:right="97"/>
              <w:jc w:val="right"/>
              <w:rPr>
                <w:rFonts w:ascii="Verdana"/>
                <w:b/>
                <w:sz w:val="22"/>
              </w:rPr>
            </w:pPr>
            <w:r>
              <w:rPr>
                <w:rFonts w:ascii="Verdana"/>
                <w:b/>
                <w:sz w:val="22"/>
              </w:rPr>
              <w:t>349</w:t>
            </w:r>
          </w:p>
        </w:tc>
        <w:tc>
          <w:tcPr>
            <w:tcW w:w="1080" w:type="dxa"/>
            <w:shd w:val="clear" w:color="auto" w:fill="CCCCCC"/>
          </w:tcPr>
          <w:p>
            <w:pPr>
              <w:pStyle w:val="TableParagraph"/>
              <w:spacing w:line="248" w:lineRule="exact"/>
              <w:ind w:right="97"/>
              <w:jc w:val="right"/>
              <w:rPr>
                <w:rFonts w:ascii="Verdana"/>
                <w:b/>
                <w:sz w:val="22"/>
              </w:rPr>
            </w:pPr>
            <w:r>
              <w:rPr>
                <w:rFonts w:ascii="Verdana"/>
                <w:b/>
                <w:sz w:val="22"/>
              </w:rPr>
              <w:t>365</w:t>
            </w:r>
          </w:p>
        </w:tc>
        <w:tc>
          <w:tcPr>
            <w:tcW w:w="1260" w:type="dxa"/>
            <w:shd w:val="clear" w:color="auto" w:fill="CCCCCC"/>
          </w:tcPr>
          <w:p>
            <w:pPr>
              <w:pStyle w:val="TableParagraph"/>
              <w:spacing w:line="248" w:lineRule="exact"/>
              <w:ind w:right="97"/>
              <w:jc w:val="right"/>
              <w:rPr>
                <w:rFonts w:ascii="Verdana"/>
                <w:b/>
                <w:sz w:val="22"/>
              </w:rPr>
            </w:pPr>
            <w:r>
              <w:rPr>
                <w:rFonts w:ascii="Verdana"/>
                <w:b/>
                <w:sz w:val="22"/>
              </w:rPr>
              <w:t>606</w:t>
            </w:r>
          </w:p>
        </w:tc>
        <w:tc>
          <w:tcPr>
            <w:tcW w:w="989" w:type="dxa"/>
            <w:shd w:val="clear" w:color="auto" w:fill="CCCCCC"/>
          </w:tcPr>
          <w:p>
            <w:pPr>
              <w:pStyle w:val="TableParagraph"/>
              <w:spacing w:line="248" w:lineRule="exact"/>
              <w:ind w:right="98"/>
              <w:jc w:val="right"/>
              <w:rPr>
                <w:rFonts w:ascii="Verdana"/>
                <w:b/>
                <w:sz w:val="22"/>
              </w:rPr>
            </w:pPr>
            <w:r>
              <w:rPr>
                <w:rFonts w:ascii="Verdana"/>
                <w:b/>
                <w:sz w:val="22"/>
              </w:rPr>
              <w:t>866</w:t>
            </w:r>
          </w:p>
        </w:tc>
      </w:tr>
    </w:tbl>
    <w:p>
      <w:pPr>
        <w:spacing w:before="62"/>
        <w:ind w:left="927" w:right="0" w:firstLine="0"/>
        <w:jc w:val="left"/>
        <w:rPr>
          <w:rFonts w:ascii="Verdana" w:hAnsi="Verdana"/>
          <w:sz w:val="16"/>
        </w:rPr>
      </w:pPr>
      <w:r>
        <w:rPr>
          <w:rFonts w:ascii="Verdana" w:hAnsi="Verdana"/>
          <w:sz w:val="16"/>
        </w:rPr>
        <w:t>Fuente: ONE, República Dominicana en Cifras, 2006</w:t>
      </w:r>
    </w:p>
    <w:p>
      <w:pPr>
        <w:pStyle w:val="BodyText"/>
        <w:spacing w:before="6"/>
        <w:rPr>
          <w:rFonts w:ascii="Verdana"/>
          <w:sz w:val="22"/>
        </w:rPr>
      </w:pPr>
    </w:p>
    <w:p>
      <w:pPr>
        <w:pStyle w:val="BodyText"/>
        <w:spacing w:before="1"/>
        <w:ind w:left="220" w:right="214"/>
        <w:jc w:val="both"/>
      </w:pPr>
      <w:r>
        <w:rPr/>
        <w:t>La importación de energéticos secundarios en 2005 estuvo liderada por el gasoil y el fueloil (30 y 24% respectivamente), siguiéndole el gas licuado de petróleo con un correspondiente 19% y las gasolinas que representan el 17% de estas importaciones. El restante 10% es por la compra de avtur y</w:t>
      </w:r>
      <w:r>
        <w:rPr>
          <w:spacing w:val="-1"/>
        </w:rPr>
        <w:t> </w:t>
      </w:r>
      <w:r>
        <w:rPr/>
        <w:t>coque.</w:t>
      </w:r>
    </w:p>
    <w:p>
      <w:pPr>
        <w:pStyle w:val="BodyText"/>
        <w:spacing w:before="11"/>
        <w:rPr>
          <w:sz w:val="22"/>
        </w:rPr>
      </w:pPr>
    </w:p>
    <w:p>
      <w:pPr>
        <w:pStyle w:val="BodyText"/>
        <w:ind w:left="220" w:right="214"/>
        <w:jc w:val="both"/>
      </w:pPr>
      <w:r>
        <w:rPr/>
        <w:t>El costo para la República Dominicana por la importación de energía secundaria fue de poco más de 1,500 millones de dólares en 2005, lo que representó un aumento de 71% respecto de la factura de 2001 (Tabla 2.2).</w:t>
      </w:r>
    </w:p>
    <w:p>
      <w:pPr>
        <w:pStyle w:val="BodyText"/>
        <w:spacing w:before="9"/>
        <w:rPr>
          <w:sz w:val="29"/>
        </w:rPr>
      </w:pPr>
    </w:p>
    <w:p>
      <w:pPr>
        <w:pStyle w:val="Heading9"/>
        <w:spacing w:before="1"/>
        <w:ind w:left="1602" w:right="1601"/>
        <w:jc w:val="center"/>
      </w:pPr>
      <w:r>
        <w:rPr/>
        <w:t>Tabla 2.2 - Valor de la importación de energía secundaria 2001-2005 (Millones de US$)</w:t>
      </w:r>
    </w:p>
    <w:p>
      <w:pPr>
        <w:pStyle w:val="BodyText"/>
        <w:spacing w:before="4"/>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9"/>
        <w:gridCol w:w="1253"/>
        <w:gridCol w:w="1428"/>
        <w:gridCol w:w="1250"/>
        <w:gridCol w:w="1077"/>
        <w:gridCol w:w="1427"/>
      </w:tblGrid>
      <w:tr>
        <w:trPr>
          <w:trHeight w:val="265" w:hRule="atLeast"/>
        </w:trPr>
        <w:tc>
          <w:tcPr>
            <w:tcW w:w="3139" w:type="dxa"/>
            <w:shd w:val="clear" w:color="auto" w:fill="CCCCCC"/>
          </w:tcPr>
          <w:p>
            <w:pPr>
              <w:pStyle w:val="TableParagraph"/>
              <w:spacing w:line="246" w:lineRule="exact"/>
              <w:ind w:left="1012"/>
              <w:rPr>
                <w:rFonts w:ascii="Verdana"/>
                <w:b/>
                <w:sz w:val="22"/>
              </w:rPr>
            </w:pPr>
            <w:r>
              <w:rPr>
                <w:rFonts w:ascii="Verdana"/>
                <w:b/>
                <w:sz w:val="22"/>
              </w:rPr>
              <w:t>Producto</w:t>
            </w:r>
          </w:p>
        </w:tc>
        <w:tc>
          <w:tcPr>
            <w:tcW w:w="1253" w:type="dxa"/>
            <w:shd w:val="clear" w:color="auto" w:fill="CCCCCC"/>
          </w:tcPr>
          <w:p>
            <w:pPr>
              <w:pStyle w:val="TableParagraph"/>
              <w:spacing w:line="246" w:lineRule="exact"/>
              <w:ind w:left="311"/>
              <w:rPr>
                <w:rFonts w:ascii="Verdana"/>
                <w:b/>
                <w:sz w:val="22"/>
              </w:rPr>
            </w:pPr>
            <w:r>
              <w:rPr>
                <w:rFonts w:ascii="Verdana"/>
                <w:b/>
                <w:sz w:val="22"/>
              </w:rPr>
              <w:t>2001</w:t>
            </w:r>
          </w:p>
        </w:tc>
        <w:tc>
          <w:tcPr>
            <w:tcW w:w="1428" w:type="dxa"/>
            <w:shd w:val="clear" w:color="auto" w:fill="CCCCCC"/>
          </w:tcPr>
          <w:p>
            <w:pPr>
              <w:pStyle w:val="TableParagraph"/>
              <w:spacing w:line="246" w:lineRule="exact"/>
              <w:ind w:left="400"/>
              <w:rPr>
                <w:rFonts w:ascii="Verdana"/>
                <w:b/>
                <w:sz w:val="22"/>
              </w:rPr>
            </w:pPr>
            <w:r>
              <w:rPr>
                <w:rFonts w:ascii="Verdana"/>
                <w:b/>
                <w:sz w:val="22"/>
              </w:rPr>
              <w:t>2002</w:t>
            </w:r>
          </w:p>
        </w:tc>
        <w:tc>
          <w:tcPr>
            <w:tcW w:w="1250" w:type="dxa"/>
            <w:shd w:val="clear" w:color="auto" w:fill="CCCCCC"/>
          </w:tcPr>
          <w:p>
            <w:pPr>
              <w:pStyle w:val="TableParagraph"/>
              <w:spacing w:line="246" w:lineRule="exact"/>
              <w:ind w:left="311"/>
              <w:rPr>
                <w:rFonts w:ascii="Verdana"/>
                <w:b/>
                <w:sz w:val="22"/>
              </w:rPr>
            </w:pPr>
            <w:r>
              <w:rPr>
                <w:rFonts w:ascii="Verdana"/>
                <w:b/>
                <w:sz w:val="22"/>
              </w:rPr>
              <w:t>2003</w:t>
            </w:r>
          </w:p>
        </w:tc>
        <w:tc>
          <w:tcPr>
            <w:tcW w:w="1077" w:type="dxa"/>
            <w:shd w:val="clear" w:color="auto" w:fill="CCCCCC"/>
          </w:tcPr>
          <w:p>
            <w:pPr>
              <w:pStyle w:val="TableParagraph"/>
              <w:spacing w:line="246" w:lineRule="exact"/>
              <w:ind w:left="223"/>
              <w:rPr>
                <w:rFonts w:ascii="Verdana"/>
                <w:b/>
                <w:sz w:val="22"/>
              </w:rPr>
            </w:pPr>
            <w:r>
              <w:rPr>
                <w:rFonts w:ascii="Verdana"/>
                <w:b/>
                <w:sz w:val="22"/>
              </w:rPr>
              <w:t>2004</w:t>
            </w:r>
          </w:p>
        </w:tc>
        <w:tc>
          <w:tcPr>
            <w:tcW w:w="1427" w:type="dxa"/>
            <w:shd w:val="clear" w:color="auto" w:fill="CCCCCC"/>
          </w:tcPr>
          <w:p>
            <w:pPr>
              <w:pStyle w:val="TableParagraph"/>
              <w:spacing w:line="246" w:lineRule="exact"/>
              <w:ind w:left="401"/>
              <w:rPr>
                <w:rFonts w:ascii="Verdana"/>
                <w:b/>
                <w:sz w:val="22"/>
              </w:rPr>
            </w:pPr>
            <w:r>
              <w:rPr>
                <w:rFonts w:ascii="Verdana"/>
                <w:b/>
                <w:sz w:val="22"/>
              </w:rPr>
              <w:t>2005</w:t>
            </w:r>
          </w:p>
        </w:tc>
      </w:tr>
      <w:tr>
        <w:trPr>
          <w:trHeight w:val="537" w:hRule="atLeast"/>
        </w:trPr>
        <w:tc>
          <w:tcPr>
            <w:tcW w:w="3139" w:type="dxa"/>
            <w:shd w:val="clear" w:color="auto" w:fill="CCCCCC"/>
          </w:tcPr>
          <w:p>
            <w:pPr>
              <w:pStyle w:val="TableParagraph"/>
              <w:spacing w:line="266" w:lineRule="exact" w:before="8"/>
              <w:ind w:left="107" w:right="1142"/>
              <w:rPr>
                <w:rFonts w:ascii="Verdana" w:hAnsi="Verdana"/>
                <w:b/>
                <w:i/>
                <w:sz w:val="22"/>
              </w:rPr>
            </w:pPr>
            <w:r>
              <w:rPr>
                <w:rFonts w:ascii="Verdana" w:hAnsi="Verdana"/>
                <w:b/>
                <w:i/>
                <w:sz w:val="22"/>
              </w:rPr>
              <w:t>Gas Licuado de </w:t>
            </w:r>
            <w:r>
              <w:rPr>
                <w:rFonts w:ascii="Verdana" w:hAnsi="Verdana"/>
                <w:b/>
                <w:i/>
                <w:sz w:val="22"/>
              </w:rPr>
              <w:t>Petróleo</w:t>
            </w:r>
          </w:p>
        </w:tc>
        <w:tc>
          <w:tcPr>
            <w:tcW w:w="1253" w:type="dxa"/>
          </w:tcPr>
          <w:p>
            <w:pPr>
              <w:pStyle w:val="TableParagraph"/>
              <w:rPr>
                <w:b/>
                <w:sz w:val="22"/>
              </w:rPr>
            </w:pPr>
          </w:p>
          <w:p>
            <w:pPr>
              <w:pStyle w:val="TableParagraph"/>
              <w:spacing w:line="251" w:lineRule="exact"/>
              <w:ind w:left="724"/>
              <w:rPr>
                <w:rFonts w:ascii="Verdana"/>
                <w:sz w:val="22"/>
              </w:rPr>
            </w:pPr>
            <w:r>
              <w:rPr>
                <w:rFonts w:ascii="Verdana"/>
                <w:sz w:val="22"/>
              </w:rPr>
              <w:t>141</w:t>
            </w:r>
          </w:p>
        </w:tc>
        <w:tc>
          <w:tcPr>
            <w:tcW w:w="1428" w:type="dxa"/>
          </w:tcPr>
          <w:p>
            <w:pPr>
              <w:pStyle w:val="TableParagraph"/>
              <w:rPr>
                <w:b/>
                <w:sz w:val="22"/>
              </w:rPr>
            </w:pPr>
          </w:p>
          <w:p>
            <w:pPr>
              <w:pStyle w:val="TableParagraph"/>
              <w:spacing w:line="251" w:lineRule="exact"/>
              <w:ind w:left="899"/>
              <w:rPr>
                <w:rFonts w:ascii="Verdana"/>
                <w:sz w:val="22"/>
              </w:rPr>
            </w:pPr>
            <w:r>
              <w:rPr>
                <w:rFonts w:ascii="Verdana"/>
                <w:sz w:val="22"/>
              </w:rPr>
              <w:t>108</w:t>
            </w:r>
          </w:p>
        </w:tc>
        <w:tc>
          <w:tcPr>
            <w:tcW w:w="1250" w:type="dxa"/>
          </w:tcPr>
          <w:p>
            <w:pPr>
              <w:pStyle w:val="TableParagraph"/>
              <w:rPr>
                <w:b/>
                <w:sz w:val="22"/>
              </w:rPr>
            </w:pPr>
          </w:p>
          <w:p>
            <w:pPr>
              <w:pStyle w:val="TableParagraph"/>
              <w:spacing w:line="251" w:lineRule="exact"/>
              <w:ind w:left="724"/>
              <w:rPr>
                <w:rFonts w:ascii="Verdana"/>
                <w:sz w:val="22"/>
              </w:rPr>
            </w:pPr>
            <w:r>
              <w:rPr>
                <w:rFonts w:ascii="Verdana"/>
                <w:sz w:val="22"/>
              </w:rPr>
              <w:t>137</w:t>
            </w:r>
          </w:p>
        </w:tc>
        <w:tc>
          <w:tcPr>
            <w:tcW w:w="1077" w:type="dxa"/>
          </w:tcPr>
          <w:p>
            <w:pPr>
              <w:pStyle w:val="TableParagraph"/>
              <w:rPr>
                <w:b/>
                <w:sz w:val="22"/>
              </w:rPr>
            </w:pPr>
          </w:p>
          <w:p>
            <w:pPr>
              <w:pStyle w:val="TableParagraph"/>
              <w:spacing w:line="251" w:lineRule="exact"/>
              <w:ind w:left="547"/>
              <w:rPr>
                <w:rFonts w:ascii="Verdana"/>
                <w:sz w:val="22"/>
              </w:rPr>
            </w:pPr>
            <w:r>
              <w:rPr>
                <w:rFonts w:ascii="Verdana"/>
                <w:sz w:val="22"/>
              </w:rPr>
              <w:t>213</w:t>
            </w:r>
          </w:p>
        </w:tc>
        <w:tc>
          <w:tcPr>
            <w:tcW w:w="1427" w:type="dxa"/>
          </w:tcPr>
          <w:p>
            <w:pPr>
              <w:pStyle w:val="TableParagraph"/>
              <w:rPr>
                <w:b/>
                <w:sz w:val="22"/>
              </w:rPr>
            </w:pPr>
          </w:p>
          <w:p>
            <w:pPr>
              <w:pStyle w:val="TableParagraph"/>
              <w:spacing w:line="251" w:lineRule="exact"/>
              <w:ind w:left="900"/>
              <w:rPr>
                <w:rFonts w:ascii="Verdana"/>
                <w:sz w:val="22"/>
              </w:rPr>
            </w:pPr>
            <w:r>
              <w:rPr>
                <w:rFonts w:ascii="Verdana"/>
                <w:sz w:val="22"/>
              </w:rPr>
              <w:t>297</w:t>
            </w:r>
          </w:p>
        </w:tc>
      </w:tr>
    </w:tbl>
    <w:p>
      <w:pPr>
        <w:spacing w:after="0" w:line="251" w:lineRule="exact"/>
        <w:rPr>
          <w:rFonts w:ascii="Verdana"/>
          <w:sz w:val="22"/>
        </w:rPr>
        <w:sectPr>
          <w:pgSz w:w="12240" w:h="15840"/>
          <w:pgMar w:header="718" w:footer="954" w:top="1500" w:bottom="1140" w:left="1220" w:right="1220"/>
        </w:sectPr>
      </w:pPr>
    </w:p>
    <w:p>
      <w:pPr>
        <w:pStyle w:val="BodyText"/>
        <w:spacing w:before="6"/>
        <w:rPr>
          <w:b/>
          <w:sz w:val="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9"/>
        <w:gridCol w:w="1253"/>
        <w:gridCol w:w="1428"/>
        <w:gridCol w:w="1250"/>
        <w:gridCol w:w="1077"/>
        <w:gridCol w:w="1427"/>
      </w:tblGrid>
      <w:tr>
        <w:trPr>
          <w:trHeight w:val="534" w:hRule="atLeast"/>
        </w:trPr>
        <w:tc>
          <w:tcPr>
            <w:tcW w:w="3139" w:type="dxa"/>
            <w:shd w:val="clear" w:color="auto" w:fill="CCCCCC"/>
          </w:tcPr>
          <w:p>
            <w:pPr>
              <w:pStyle w:val="TableParagraph"/>
              <w:spacing w:line="266" w:lineRule="exact" w:before="8"/>
              <w:ind w:left="107" w:right="1308"/>
              <w:rPr>
                <w:rFonts w:ascii="Verdana" w:hAnsi="Verdana"/>
                <w:b/>
                <w:i/>
                <w:sz w:val="22"/>
              </w:rPr>
            </w:pPr>
            <w:r>
              <w:rPr>
                <w:rFonts w:ascii="Verdana" w:hAnsi="Verdana"/>
                <w:b/>
                <w:i/>
                <w:sz w:val="22"/>
              </w:rPr>
              <w:t>Gasolina para </w:t>
            </w:r>
            <w:r>
              <w:rPr>
                <w:rFonts w:ascii="Verdana" w:hAnsi="Verdana"/>
                <w:b/>
                <w:i/>
                <w:sz w:val="22"/>
              </w:rPr>
              <w:t>automóviles</w:t>
            </w:r>
          </w:p>
        </w:tc>
        <w:tc>
          <w:tcPr>
            <w:tcW w:w="1253" w:type="dxa"/>
          </w:tcPr>
          <w:p>
            <w:pPr>
              <w:pStyle w:val="TableParagraph"/>
              <w:rPr>
                <w:b/>
                <w:sz w:val="22"/>
              </w:rPr>
            </w:pPr>
          </w:p>
          <w:p>
            <w:pPr>
              <w:pStyle w:val="TableParagraph"/>
              <w:spacing w:line="249" w:lineRule="exact"/>
              <w:ind w:right="97"/>
              <w:jc w:val="right"/>
              <w:rPr>
                <w:rFonts w:ascii="Verdana"/>
                <w:sz w:val="22"/>
              </w:rPr>
            </w:pPr>
            <w:r>
              <w:rPr>
                <w:rFonts w:ascii="Verdana"/>
                <w:sz w:val="22"/>
              </w:rPr>
              <w:t>202</w:t>
            </w:r>
          </w:p>
        </w:tc>
        <w:tc>
          <w:tcPr>
            <w:tcW w:w="1428" w:type="dxa"/>
          </w:tcPr>
          <w:p>
            <w:pPr>
              <w:pStyle w:val="TableParagraph"/>
              <w:rPr>
                <w:b/>
                <w:sz w:val="22"/>
              </w:rPr>
            </w:pPr>
          </w:p>
          <w:p>
            <w:pPr>
              <w:pStyle w:val="TableParagraph"/>
              <w:spacing w:line="249" w:lineRule="exact"/>
              <w:ind w:right="97"/>
              <w:jc w:val="right"/>
              <w:rPr>
                <w:rFonts w:ascii="Verdana"/>
                <w:sz w:val="22"/>
              </w:rPr>
            </w:pPr>
            <w:r>
              <w:rPr>
                <w:rFonts w:ascii="Verdana"/>
                <w:sz w:val="22"/>
              </w:rPr>
              <w:t>211</w:t>
            </w:r>
          </w:p>
        </w:tc>
        <w:tc>
          <w:tcPr>
            <w:tcW w:w="1250" w:type="dxa"/>
          </w:tcPr>
          <w:p>
            <w:pPr>
              <w:pStyle w:val="TableParagraph"/>
              <w:rPr>
                <w:b/>
                <w:sz w:val="22"/>
              </w:rPr>
            </w:pPr>
          </w:p>
          <w:p>
            <w:pPr>
              <w:pStyle w:val="TableParagraph"/>
              <w:spacing w:line="249" w:lineRule="exact"/>
              <w:ind w:right="94"/>
              <w:jc w:val="right"/>
              <w:rPr>
                <w:rFonts w:ascii="Verdana"/>
                <w:sz w:val="22"/>
              </w:rPr>
            </w:pPr>
            <w:r>
              <w:rPr>
                <w:rFonts w:ascii="Verdana"/>
                <w:sz w:val="22"/>
              </w:rPr>
              <w:t>225</w:t>
            </w:r>
          </w:p>
        </w:tc>
        <w:tc>
          <w:tcPr>
            <w:tcW w:w="1077" w:type="dxa"/>
          </w:tcPr>
          <w:p>
            <w:pPr>
              <w:pStyle w:val="TableParagraph"/>
              <w:rPr>
                <w:b/>
                <w:sz w:val="22"/>
              </w:rPr>
            </w:pPr>
          </w:p>
          <w:p>
            <w:pPr>
              <w:pStyle w:val="TableParagraph"/>
              <w:spacing w:line="249" w:lineRule="exact"/>
              <w:ind w:right="98"/>
              <w:jc w:val="right"/>
              <w:rPr>
                <w:rFonts w:ascii="Verdana"/>
                <w:sz w:val="22"/>
              </w:rPr>
            </w:pPr>
            <w:r>
              <w:rPr>
                <w:rFonts w:ascii="Verdana"/>
                <w:sz w:val="22"/>
              </w:rPr>
              <w:t>268</w:t>
            </w:r>
          </w:p>
        </w:tc>
        <w:tc>
          <w:tcPr>
            <w:tcW w:w="1427" w:type="dxa"/>
          </w:tcPr>
          <w:p>
            <w:pPr>
              <w:pStyle w:val="TableParagraph"/>
              <w:rPr>
                <w:b/>
                <w:sz w:val="22"/>
              </w:rPr>
            </w:pPr>
          </w:p>
          <w:p>
            <w:pPr>
              <w:pStyle w:val="TableParagraph"/>
              <w:spacing w:line="249" w:lineRule="exact"/>
              <w:ind w:right="95"/>
              <w:jc w:val="right"/>
              <w:rPr>
                <w:rFonts w:ascii="Verdana"/>
                <w:sz w:val="22"/>
              </w:rPr>
            </w:pPr>
            <w:r>
              <w:rPr>
                <w:rFonts w:ascii="Verdana"/>
                <w:sz w:val="22"/>
              </w:rPr>
              <w:t>336</w:t>
            </w:r>
          </w:p>
        </w:tc>
      </w:tr>
      <w:tr>
        <w:trPr>
          <w:trHeight w:val="263" w:hRule="atLeast"/>
        </w:trPr>
        <w:tc>
          <w:tcPr>
            <w:tcW w:w="3139" w:type="dxa"/>
            <w:shd w:val="clear" w:color="auto" w:fill="CCCCCC"/>
          </w:tcPr>
          <w:p>
            <w:pPr>
              <w:pStyle w:val="TableParagraph"/>
              <w:spacing w:line="243" w:lineRule="exact"/>
              <w:ind w:left="107"/>
              <w:rPr>
                <w:rFonts w:ascii="Verdana" w:hAnsi="Verdana"/>
                <w:b/>
                <w:i/>
                <w:sz w:val="22"/>
              </w:rPr>
            </w:pPr>
            <w:r>
              <w:rPr>
                <w:rFonts w:ascii="Verdana" w:hAnsi="Verdana"/>
                <w:b/>
                <w:i/>
                <w:sz w:val="22"/>
              </w:rPr>
              <w:t>Gasolina para Aviación</w:t>
            </w:r>
          </w:p>
        </w:tc>
        <w:tc>
          <w:tcPr>
            <w:tcW w:w="1253" w:type="dxa"/>
          </w:tcPr>
          <w:p>
            <w:pPr>
              <w:pStyle w:val="TableParagraph"/>
              <w:spacing w:line="243" w:lineRule="exact"/>
              <w:ind w:right="95"/>
              <w:jc w:val="right"/>
              <w:rPr>
                <w:rFonts w:ascii="Verdana"/>
                <w:sz w:val="22"/>
              </w:rPr>
            </w:pPr>
            <w:r>
              <w:rPr>
                <w:rFonts w:ascii="Verdana"/>
                <w:w w:val="100"/>
                <w:sz w:val="22"/>
              </w:rPr>
              <w:t>1</w:t>
            </w:r>
          </w:p>
        </w:tc>
        <w:tc>
          <w:tcPr>
            <w:tcW w:w="1428" w:type="dxa"/>
          </w:tcPr>
          <w:p>
            <w:pPr>
              <w:pStyle w:val="TableParagraph"/>
              <w:spacing w:line="243" w:lineRule="exact"/>
              <w:ind w:right="95"/>
              <w:jc w:val="right"/>
              <w:rPr>
                <w:rFonts w:ascii="Verdana"/>
                <w:sz w:val="22"/>
              </w:rPr>
            </w:pPr>
            <w:r>
              <w:rPr>
                <w:rFonts w:ascii="Verdana"/>
                <w:w w:val="100"/>
                <w:sz w:val="22"/>
              </w:rPr>
              <w:t>3</w:t>
            </w:r>
          </w:p>
        </w:tc>
        <w:tc>
          <w:tcPr>
            <w:tcW w:w="1250" w:type="dxa"/>
          </w:tcPr>
          <w:p>
            <w:pPr>
              <w:pStyle w:val="TableParagraph"/>
              <w:spacing w:line="243" w:lineRule="exact"/>
              <w:ind w:right="92"/>
              <w:jc w:val="right"/>
              <w:rPr>
                <w:rFonts w:ascii="Verdana"/>
                <w:sz w:val="22"/>
              </w:rPr>
            </w:pPr>
            <w:r>
              <w:rPr>
                <w:rFonts w:ascii="Verdana"/>
                <w:w w:val="100"/>
                <w:sz w:val="22"/>
              </w:rPr>
              <w:t>1</w:t>
            </w:r>
          </w:p>
        </w:tc>
        <w:tc>
          <w:tcPr>
            <w:tcW w:w="1077" w:type="dxa"/>
          </w:tcPr>
          <w:p>
            <w:pPr>
              <w:pStyle w:val="TableParagraph"/>
              <w:spacing w:line="243" w:lineRule="exact"/>
              <w:ind w:right="96"/>
              <w:jc w:val="right"/>
              <w:rPr>
                <w:rFonts w:ascii="Verdana"/>
                <w:sz w:val="22"/>
              </w:rPr>
            </w:pPr>
            <w:r>
              <w:rPr>
                <w:rFonts w:ascii="Verdana"/>
                <w:w w:val="100"/>
                <w:sz w:val="22"/>
              </w:rPr>
              <w:t>0</w:t>
            </w:r>
          </w:p>
        </w:tc>
        <w:tc>
          <w:tcPr>
            <w:tcW w:w="1427" w:type="dxa"/>
          </w:tcPr>
          <w:p>
            <w:pPr>
              <w:pStyle w:val="TableParagraph"/>
              <w:spacing w:line="243" w:lineRule="exact"/>
              <w:ind w:right="93"/>
              <w:jc w:val="right"/>
              <w:rPr>
                <w:rFonts w:ascii="Verdana"/>
                <w:sz w:val="22"/>
              </w:rPr>
            </w:pPr>
            <w:r>
              <w:rPr>
                <w:rFonts w:ascii="Verdana"/>
                <w:w w:val="100"/>
                <w:sz w:val="22"/>
              </w:rPr>
              <w:t>1</w:t>
            </w:r>
          </w:p>
        </w:tc>
      </w:tr>
      <w:tr>
        <w:trPr>
          <w:trHeight w:val="268" w:hRule="atLeast"/>
        </w:trPr>
        <w:tc>
          <w:tcPr>
            <w:tcW w:w="3139" w:type="dxa"/>
            <w:shd w:val="clear" w:color="auto" w:fill="CCCCCC"/>
          </w:tcPr>
          <w:p>
            <w:pPr>
              <w:pStyle w:val="TableParagraph"/>
              <w:spacing w:line="248" w:lineRule="exact"/>
              <w:ind w:left="107"/>
              <w:rPr>
                <w:rFonts w:ascii="Verdana"/>
                <w:b/>
                <w:i/>
                <w:sz w:val="22"/>
              </w:rPr>
            </w:pPr>
            <w:r>
              <w:rPr>
                <w:rFonts w:ascii="Verdana"/>
                <w:b/>
                <w:i/>
                <w:sz w:val="22"/>
              </w:rPr>
              <w:t>Avtur</w:t>
            </w:r>
          </w:p>
        </w:tc>
        <w:tc>
          <w:tcPr>
            <w:tcW w:w="1253" w:type="dxa"/>
          </w:tcPr>
          <w:p>
            <w:pPr>
              <w:pStyle w:val="TableParagraph"/>
              <w:spacing w:line="248" w:lineRule="exact"/>
              <w:ind w:right="97"/>
              <w:jc w:val="right"/>
              <w:rPr>
                <w:rFonts w:ascii="Verdana"/>
                <w:sz w:val="22"/>
              </w:rPr>
            </w:pPr>
            <w:r>
              <w:rPr>
                <w:rFonts w:ascii="Verdana"/>
                <w:sz w:val="22"/>
              </w:rPr>
              <w:t>40</w:t>
            </w:r>
          </w:p>
        </w:tc>
        <w:tc>
          <w:tcPr>
            <w:tcW w:w="1428" w:type="dxa"/>
          </w:tcPr>
          <w:p>
            <w:pPr>
              <w:pStyle w:val="TableParagraph"/>
              <w:spacing w:line="248" w:lineRule="exact"/>
              <w:ind w:right="97"/>
              <w:jc w:val="right"/>
              <w:rPr>
                <w:rFonts w:ascii="Verdana"/>
                <w:sz w:val="22"/>
              </w:rPr>
            </w:pPr>
            <w:r>
              <w:rPr>
                <w:rFonts w:ascii="Verdana"/>
                <w:sz w:val="22"/>
              </w:rPr>
              <w:t>16</w:t>
            </w:r>
          </w:p>
        </w:tc>
        <w:tc>
          <w:tcPr>
            <w:tcW w:w="1250" w:type="dxa"/>
          </w:tcPr>
          <w:p>
            <w:pPr>
              <w:pStyle w:val="TableParagraph"/>
              <w:spacing w:line="248" w:lineRule="exact"/>
              <w:ind w:right="94"/>
              <w:jc w:val="right"/>
              <w:rPr>
                <w:rFonts w:ascii="Verdana"/>
                <w:sz w:val="22"/>
              </w:rPr>
            </w:pPr>
            <w:r>
              <w:rPr>
                <w:rFonts w:ascii="Verdana"/>
                <w:sz w:val="22"/>
              </w:rPr>
              <w:t>43</w:t>
            </w:r>
          </w:p>
        </w:tc>
        <w:tc>
          <w:tcPr>
            <w:tcW w:w="1077" w:type="dxa"/>
          </w:tcPr>
          <w:p>
            <w:pPr>
              <w:pStyle w:val="TableParagraph"/>
              <w:spacing w:line="248" w:lineRule="exact"/>
              <w:ind w:right="99"/>
              <w:jc w:val="right"/>
              <w:rPr>
                <w:rFonts w:ascii="Verdana"/>
                <w:sz w:val="22"/>
              </w:rPr>
            </w:pPr>
            <w:r>
              <w:rPr>
                <w:rFonts w:ascii="Verdana"/>
                <w:sz w:val="22"/>
              </w:rPr>
              <w:t>73</w:t>
            </w:r>
          </w:p>
        </w:tc>
        <w:tc>
          <w:tcPr>
            <w:tcW w:w="1427" w:type="dxa"/>
          </w:tcPr>
          <w:p>
            <w:pPr>
              <w:pStyle w:val="TableParagraph"/>
              <w:spacing w:line="248" w:lineRule="exact"/>
              <w:ind w:right="95"/>
              <w:jc w:val="right"/>
              <w:rPr>
                <w:rFonts w:ascii="Verdana"/>
                <w:sz w:val="22"/>
              </w:rPr>
            </w:pPr>
            <w:r>
              <w:rPr>
                <w:rFonts w:ascii="Verdana"/>
                <w:sz w:val="22"/>
              </w:rPr>
              <w:t>100</w:t>
            </w:r>
          </w:p>
        </w:tc>
      </w:tr>
      <w:tr>
        <w:trPr>
          <w:trHeight w:val="265" w:hRule="atLeast"/>
        </w:trPr>
        <w:tc>
          <w:tcPr>
            <w:tcW w:w="3139" w:type="dxa"/>
            <w:shd w:val="clear" w:color="auto" w:fill="CCCCCC"/>
          </w:tcPr>
          <w:p>
            <w:pPr>
              <w:pStyle w:val="TableParagraph"/>
              <w:spacing w:line="246" w:lineRule="exact"/>
              <w:ind w:left="107"/>
              <w:rPr>
                <w:rFonts w:ascii="Verdana"/>
                <w:b/>
                <w:i/>
                <w:sz w:val="22"/>
              </w:rPr>
            </w:pPr>
            <w:r>
              <w:rPr>
                <w:rFonts w:ascii="Verdana"/>
                <w:b/>
                <w:i/>
                <w:sz w:val="22"/>
              </w:rPr>
              <w:t>Gasoil</w:t>
            </w:r>
          </w:p>
        </w:tc>
        <w:tc>
          <w:tcPr>
            <w:tcW w:w="1253" w:type="dxa"/>
          </w:tcPr>
          <w:p>
            <w:pPr>
              <w:pStyle w:val="TableParagraph"/>
              <w:spacing w:line="246" w:lineRule="exact"/>
              <w:ind w:right="97"/>
              <w:jc w:val="right"/>
              <w:rPr>
                <w:rFonts w:ascii="Verdana"/>
                <w:sz w:val="22"/>
              </w:rPr>
            </w:pPr>
            <w:r>
              <w:rPr>
                <w:rFonts w:ascii="Verdana"/>
                <w:sz w:val="22"/>
              </w:rPr>
              <w:t>313</w:t>
            </w:r>
          </w:p>
        </w:tc>
        <w:tc>
          <w:tcPr>
            <w:tcW w:w="1428" w:type="dxa"/>
          </w:tcPr>
          <w:p>
            <w:pPr>
              <w:pStyle w:val="TableParagraph"/>
              <w:spacing w:line="246" w:lineRule="exact"/>
              <w:ind w:right="97"/>
              <w:jc w:val="right"/>
              <w:rPr>
                <w:rFonts w:ascii="Verdana"/>
                <w:sz w:val="22"/>
              </w:rPr>
            </w:pPr>
            <w:r>
              <w:rPr>
                <w:rFonts w:ascii="Verdana"/>
                <w:sz w:val="22"/>
              </w:rPr>
              <w:t>309</w:t>
            </w:r>
          </w:p>
        </w:tc>
        <w:tc>
          <w:tcPr>
            <w:tcW w:w="1250" w:type="dxa"/>
          </w:tcPr>
          <w:p>
            <w:pPr>
              <w:pStyle w:val="TableParagraph"/>
              <w:spacing w:line="246" w:lineRule="exact"/>
              <w:ind w:right="94"/>
              <w:jc w:val="right"/>
              <w:rPr>
                <w:rFonts w:ascii="Verdana"/>
                <w:sz w:val="22"/>
              </w:rPr>
            </w:pPr>
            <w:r>
              <w:rPr>
                <w:rFonts w:ascii="Verdana"/>
                <w:sz w:val="22"/>
              </w:rPr>
              <w:t>271</w:t>
            </w:r>
          </w:p>
        </w:tc>
        <w:tc>
          <w:tcPr>
            <w:tcW w:w="1077" w:type="dxa"/>
          </w:tcPr>
          <w:p>
            <w:pPr>
              <w:pStyle w:val="TableParagraph"/>
              <w:spacing w:line="246" w:lineRule="exact"/>
              <w:ind w:right="98"/>
              <w:jc w:val="right"/>
              <w:rPr>
                <w:rFonts w:ascii="Verdana"/>
                <w:sz w:val="22"/>
              </w:rPr>
            </w:pPr>
            <w:r>
              <w:rPr>
                <w:rFonts w:ascii="Verdana"/>
                <w:sz w:val="22"/>
              </w:rPr>
              <w:t>360</w:t>
            </w:r>
          </w:p>
        </w:tc>
        <w:tc>
          <w:tcPr>
            <w:tcW w:w="1427" w:type="dxa"/>
          </w:tcPr>
          <w:p>
            <w:pPr>
              <w:pStyle w:val="TableParagraph"/>
              <w:spacing w:line="246" w:lineRule="exact"/>
              <w:ind w:right="95"/>
              <w:jc w:val="right"/>
              <w:rPr>
                <w:rFonts w:ascii="Verdana"/>
                <w:sz w:val="22"/>
              </w:rPr>
            </w:pPr>
            <w:r>
              <w:rPr>
                <w:rFonts w:ascii="Verdana"/>
                <w:sz w:val="22"/>
              </w:rPr>
              <w:t>539</w:t>
            </w:r>
          </w:p>
        </w:tc>
      </w:tr>
      <w:tr>
        <w:trPr>
          <w:trHeight w:val="268" w:hRule="atLeast"/>
        </w:trPr>
        <w:tc>
          <w:tcPr>
            <w:tcW w:w="3139" w:type="dxa"/>
            <w:shd w:val="clear" w:color="auto" w:fill="CCCCCC"/>
          </w:tcPr>
          <w:p>
            <w:pPr>
              <w:pStyle w:val="TableParagraph"/>
              <w:spacing w:line="248" w:lineRule="exact"/>
              <w:ind w:left="107"/>
              <w:rPr>
                <w:rFonts w:ascii="Verdana"/>
                <w:b/>
                <w:i/>
                <w:sz w:val="22"/>
              </w:rPr>
            </w:pPr>
            <w:r>
              <w:rPr>
                <w:rFonts w:ascii="Verdana"/>
                <w:b/>
                <w:i/>
                <w:sz w:val="22"/>
              </w:rPr>
              <w:t>Fueloil</w:t>
            </w:r>
          </w:p>
        </w:tc>
        <w:tc>
          <w:tcPr>
            <w:tcW w:w="1253" w:type="dxa"/>
          </w:tcPr>
          <w:p>
            <w:pPr>
              <w:pStyle w:val="TableParagraph"/>
              <w:spacing w:line="248" w:lineRule="exact"/>
              <w:ind w:right="97"/>
              <w:jc w:val="right"/>
              <w:rPr>
                <w:rFonts w:ascii="Verdana"/>
                <w:sz w:val="22"/>
              </w:rPr>
            </w:pPr>
            <w:r>
              <w:rPr>
                <w:rFonts w:ascii="Verdana"/>
                <w:sz w:val="22"/>
              </w:rPr>
              <w:t>185</w:t>
            </w:r>
          </w:p>
        </w:tc>
        <w:tc>
          <w:tcPr>
            <w:tcW w:w="1428" w:type="dxa"/>
          </w:tcPr>
          <w:p>
            <w:pPr>
              <w:pStyle w:val="TableParagraph"/>
              <w:spacing w:line="248" w:lineRule="exact"/>
              <w:ind w:right="97"/>
              <w:jc w:val="right"/>
              <w:rPr>
                <w:rFonts w:ascii="Verdana"/>
                <w:sz w:val="22"/>
              </w:rPr>
            </w:pPr>
            <w:r>
              <w:rPr>
                <w:rFonts w:ascii="Verdana"/>
                <w:sz w:val="22"/>
              </w:rPr>
              <w:t>242</w:t>
            </w:r>
          </w:p>
        </w:tc>
        <w:tc>
          <w:tcPr>
            <w:tcW w:w="1250" w:type="dxa"/>
          </w:tcPr>
          <w:p>
            <w:pPr>
              <w:pStyle w:val="TableParagraph"/>
              <w:spacing w:line="248" w:lineRule="exact"/>
              <w:ind w:right="94"/>
              <w:jc w:val="right"/>
              <w:rPr>
                <w:rFonts w:ascii="Verdana"/>
                <w:sz w:val="22"/>
              </w:rPr>
            </w:pPr>
            <w:r>
              <w:rPr>
                <w:rFonts w:ascii="Verdana"/>
                <w:sz w:val="22"/>
              </w:rPr>
              <w:t>205</w:t>
            </w:r>
          </w:p>
        </w:tc>
        <w:tc>
          <w:tcPr>
            <w:tcW w:w="1077" w:type="dxa"/>
          </w:tcPr>
          <w:p>
            <w:pPr>
              <w:pStyle w:val="TableParagraph"/>
              <w:spacing w:line="248" w:lineRule="exact"/>
              <w:ind w:right="99"/>
              <w:jc w:val="right"/>
              <w:rPr>
                <w:rFonts w:ascii="Verdana"/>
                <w:sz w:val="22"/>
              </w:rPr>
            </w:pPr>
            <w:r>
              <w:rPr>
                <w:rFonts w:ascii="Verdana"/>
                <w:sz w:val="22"/>
              </w:rPr>
              <w:t>86</w:t>
            </w:r>
          </w:p>
        </w:tc>
        <w:tc>
          <w:tcPr>
            <w:tcW w:w="1427" w:type="dxa"/>
          </w:tcPr>
          <w:p>
            <w:pPr>
              <w:pStyle w:val="TableParagraph"/>
              <w:spacing w:line="248" w:lineRule="exact"/>
              <w:ind w:right="95"/>
              <w:jc w:val="right"/>
              <w:rPr>
                <w:rFonts w:ascii="Verdana"/>
                <w:sz w:val="22"/>
              </w:rPr>
            </w:pPr>
            <w:r>
              <w:rPr>
                <w:rFonts w:ascii="Verdana"/>
                <w:sz w:val="22"/>
              </w:rPr>
              <w:t>235</w:t>
            </w:r>
          </w:p>
        </w:tc>
      </w:tr>
      <w:tr>
        <w:trPr>
          <w:trHeight w:val="265" w:hRule="atLeast"/>
        </w:trPr>
        <w:tc>
          <w:tcPr>
            <w:tcW w:w="3139" w:type="dxa"/>
            <w:shd w:val="clear" w:color="auto" w:fill="CCCCCC"/>
          </w:tcPr>
          <w:p>
            <w:pPr>
              <w:pStyle w:val="TableParagraph"/>
              <w:spacing w:line="246" w:lineRule="exact"/>
              <w:ind w:left="107"/>
              <w:rPr>
                <w:rFonts w:ascii="Verdana"/>
                <w:b/>
                <w:i/>
                <w:sz w:val="22"/>
              </w:rPr>
            </w:pPr>
            <w:r>
              <w:rPr>
                <w:rFonts w:ascii="Verdana"/>
                <w:b/>
                <w:i/>
                <w:sz w:val="22"/>
              </w:rPr>
              <w:t>TOTAL</w:t>
            </w:r>
          </w:p>
        </w:tc>
        <w:tc>
          <w:tcPr>
            <w:tcW w:w="1253" w:type="dxa"/>
          </w:tcPr>
          <w:p>
            <w:pPr>
              <w:pStyle w:val="TableParagraph"/>
              <w:spacing w:line="246" w:lineRule="exact"/>
              <w:ind w:right="97"/>
              <w:jc w:val="right"/>
              <w:rPr>
                <w:rFonts w:ascii="Verdana"/>
                <w:sz w:val="22"/>
              </w:rPr>
            </w:pPr>
            <w:r>
              <w:rPr>
                <w:rFonts w:ascii="Verdana"/>
                <w:sz w:val="22"/>
              </w:rPr>
              <w:t>883</w:t>
            </w:r>
          </w:p>
        </w:tc>
        <w:tc>
          <w:tcPr>
            <w:tcW w:w="1428" w:type="dxa"/>
          </w:tcPr>
          <w:p>
            <w:pPr>
              <w:pStyle w:val="TableParagraph"/>
              <w:spacing w:line="246" w:lineRule="exact"/>
              <w:ind w:right="97"/>
              <w:jc w:val="right"/>
              <w:rPr>
                <w:rFonts w:ascii="Verdana"/>
                <w:sz w:val="22"/>
              </w:rPr>
            </w:pPr>
            <w:r>
              <w:rPr>
                <w:rFonts w:ascii="Verdana"/>
                <w:sz w:val="22"/>
              </w:rPr>
              <w:t>889</w:t>
            </w:r>
          </w:p>
        </w:tc>
        <w:tc>
          <w:tcPr>
            <w:tcW w:w="1250" w:type="dxa"/>
          </w:tcPr>
          <w:p>
            <w:pPr>
              <w:pStyle w:val="TableParagraph"/>
              <w:spacing w:line="246" w:lineRule="exact"/>
              <w:ind w:right="94"/>
              <w:jc w:val="right"/>
              <w:rPr>
                <w:rFonts w:ascii="Verdana"/>
                <w:sz w:val="22"/>
              </w:rPr>
            </w:pPr>
            <w:r>
              <w:rPr>
                <w:rFonts w:ascii="Verdana"/>
                <w:sz w:val="22"/>
              </w:rPr>
              <w:t>881</w:t>
            </w:r>
          </w:p>
        </w:tc>
        <w:tc>
          <w:tcPr>
            <w:tcW w:w="1077" w:type="dxa"/>
          </w:tcPr>
          <w:p>
            <w:pPr>
              <w:pStyle w:val="TableParagraph"/>
              <w:spacing w:line="246" w:lineRule="exact"/>
              <w:ind w:right="98"/>
              <w:jc w:val="right"/>
              <w:rPr>
                <w:rFonts w:ascii="Verdana"/>
                <w:sz w:val="22"/>
              </w:rPr>
            </w:pPr>
            <w:r>
              <w:rPr>
                <w:rFonts w:ascii="Verdana"/>
                <w:sz w:val="22"/>
              </w:rPr>
              <w:t>1,001</w:t>
            </w:r>
          </w:p>
        </w:tc>
        <w:tc>
          <w:tcPr>
            <w:tcW w:w="1427" w:type="dxa"/>
          </w:tcPr>
          <w:p>
            <w:pPr>
              <w:pStyle w:val="TableParagraph"/>
              <w:spacing w:line="246" w:lineRule="exact"/>
              <w:ind w:right="95"/>
              <w:jc w:val="right"/>
              <w:rPr>
                <w:rFonts w:ascii="Verdana"/>
                <w:sz w:val="22"/>
              </w:rPr>
            </w:pPr>
            <w:r>
              <w:rPr>
                <w:rFonts w:ascii="Verdana"/>
                <w:sz w:val="22"/>
              </w:rPr>
              <w:t>1,509</w:t>
            </w:r>
          </w:p>
        </w:tc>
      </w:tr>
    </w:tbl>
    <w:p>
      <w:pPr>
        <w:spacing w:before="62"/>
        <w:ind w:left="219" w:right="0" w:firstLine="0"/>
        <w:jc w:val="both"/>
        <w:rPr>
          <w:rFonts w:ascii="Verdana" w:hAnsi="Verdana"/>
          <w:sz w:val="16"/>
        </w:rPr>
      </w:pPr>
      <w:r>
        <w:rPr>
          <w:rFonts w:ascii="Verdana" w:hAnsi="Verdana"/>
          <w:sz w:val="16"/>
        </w:rPr>
        <w:t>Fuente: ONE, República Dominicana en Cifras, 2006</w:t>
      </w:r>
    </w:p>
    <w:p>
      <w:pPr>
        <w:pStyle w:val="BodyText"/>
        <w:rPr>
          <w:rFonts w:ascii="Verdana"/>
          <w:sz w:val="20"/>
        </w:rPr>
      </w:pPr>
    </w:p>
    <w:p>
      <w:pPr>
        <w:pStyle w:val="BodyText"/>
        <w:spacing w:before="5"/>
        <w:rPr>
          <w:rFonts w:ascii="Verdana"/>
          <w:sz w:val="25"/>
        </w:rPr>
      </w:pPr>
    </w:p>
    <w:p>
      <w:pPr>
        <w:pStyle w:val="BodyText"/>
        <w:ind w:left="219" w:right="214"/>
        <w:jc w:val="both"/>
        <w:rPr>
          <w:rFonts w:ascii="Verdana" w:hAnsi="Verdana"/>
          <w:sz w:val="22"/>
        </w:rPr>
      </w:pPr>
      <w:r>
        <w:rPr/>
        <w:t>Esta situación hace que el funcionamiento del sector energético tenga un muy significativo impacto en las cuentas del país con el exterior, en las que además de la importación de energéticos habría que agregar las partidas vinculadas con las remesas de utilidades de las empresas transnacionales que desenvuelven su actividad en dicho sector, así como los servicios financieros relacionados con préstamos solicitados por el Estado para cubrir requerimientos del mismo</w:t>
      </w:r>
      <w:r>
        <w:rPr>
          <w:rFonts w:ascii="Verdana" w:hAnsi="Verdana"/>
          <w:sz w:val="22"/>
        </w:rPr>
        <w:t>.</w:t>
      </w:r>
    </w:p>
    <w:p>
      <w:pPr>
        <w:pStyle w:val="BodyText"/>
        <w:spacing w:before="11"/>
        <w:rPr>
          <w:rFonts w:ascii="Verdana"/>
          <w:sz w:val="22"/>
        </w:rPr>
      </w:pPr>
    </w:p>
    <w:p>
      <w:pPr>
        <w:pStyle w:val="BodyText"/>
        <w:ind w:left="219" w:right="215"/>
        <w:jc w:val="both"/>
      </w:pPr>
      <w:r>
        <w:rPr/>
        <w:t>Las importaciones de petróleo y derivados significan una parte importante del total de importaciones nacionales. Han pasado a representar de 21% en 2002 a más del 30% en 2006 (Gráfico 2.1). Al mismo tiempo las cantidades importadas se vinculan con el crecimiento del PBI, con los precios y con los precios relativos determinados por el nivel del tipo de cambio real (Gráficos 2.2 y 2.3)</w:t>
      </w:r>
    </w:p>
    <w:p>
      <w:pPr>
        <w:spacing w:after="0"/>
        <w:jc w:val="both"/>
        <w:sectPr>
          <w:pgSz w:w="12240" w:h="15840"/>
          <w:pgMar w:header="718" w:footer="954" w:top="1500" w:bottom="1140" w:left="1220" w:right="1220"/>
        </w:sectPr>
      </w:pPr>
    </w:p>
    <w:p>
      <w:pPr>
        <w:pStyle w:val="Heading9"/>
        <w:spacing w:before="113"/>
        <w:ind w:left="330" w:right="315" w:firstLine="427"/>
      </w:pPr>
      <w:r>
        <w:rPr/>
        <w:t>Gráfico 2.1 - Importaciones de Petróleo y Derivados respecto al total de importaciones nacionales (excluidas las zonas francas, en millones de dólares).</w:t>
      </w:r>
    </w:p>
    <w:p>
      <w:pPr>
        <w:pStyle w:val="BodyText"/>
        <w:spacing w:before="1"/>
        <w:rPr>
          <w:b/>
          <w:sz w:val="25"/>
        </w:rPr>
      </w:pPr>
      <w:r>
        <w:rPr/>
        <w:pict>
          <v:group style="position:absolute;margin-left:74.429451pt;margin-top:17.138195pt;width:462.8pt;height:318.2pt;mso-position-horizontal-relative:page;mso-position-vertical-relative:paragraph;z-index:-15712768;mso-wrap-distance-left:0;mso-wrap-distance-right:0" coordorigin="1489,343" coordsize="9256,6364">
            <v:shape style="position:absolute;left:1495;top:349;width:9243;height:6351" coordorigin="1495,349" coordsize="9243,6351" path="m1495,349l10738,349,10738,6700,1495,6700,1495,349xm2436,575l7284,575e" filled="false" stroked="true" strokeweight=".660959pt" strokecolor="#000000">
              <v:path arrowok="t"/>
              <v:stroke dashstyle="solid"/>
            </v:shape>
            <v:shape style="position:absolute;left:7283;top:574;width:2;height:5698" coordorigin="7284,575" coordsize="0,5698" path="m7284,1189l7284,6273m7284,575l7284,952e" filled="false" stroked="true" strokeweight=".661918pt" strokecolor="#000000">
              <v:path arrowok="t"/>
              <v:stroke dashstyle="solid"/>
            </v:shape>
            <v:shape style="position:absolute;left:2436;top:6269;width:4848;height:7" coordorigin="2436,6269" coordsize="4848,7" path="m2436,6269l2678,6269m2813,6269l3022,6269m3300,6269l3509,6269m3785,6269l3994,6269m4270,6269l4478,6269m4757,6269l4966,6269m5239,6269l5448,6269m5724,6269l5933,6269m6206,6269l6415,6269m6694,6269l6902,6269m7178,6269l7284,6269m2436,6276l7284,6276e" filled="false" stroked="true" strokeweight=".32964pt" strokecolor="#000000">
              <v:path arrowok="t"/>
              <v:stroke dashstyle="solid"/>
            </v:shape>
            <v:line style="position:absolute" from="2436,6273" to="2436,575" stroked="true" strokeweight=".661918pt" strokecolor="#000000">
              <v:stroke dashstyle="solid"/>
            </v:line>
            <v:rect style="position:absolute;left:2539;top:5811;width:140;height:461" filled="true" fillcolor="#ff0000" stroked="false">
              <v:fill type="solid"/>
            </v:rect>
            <v:rect style="position:absolute;left:2539;top:5811;width:140;height:461" filled="false" stroked="true" strokeweight=".661758pt" strokecolor="#000000">
              <v:stroke dashstyle="solid"/>
            </v:rect>
            <v:rect style="position:absolute;left:3021;top:5902;width:140;height:370" filled="true" fillcolor="#ff0000" stroked="false">
              <v:fill type="solid"/>
            </v:rect>
            <v:rect style="position:absolute;left:3021;top:5902;width:140;height:370" filled="false" stroked="true" strokeweight=".66168pt" strokecolor="#000000">
              <v:stroke dashstyle="solid"/>
            </v:rect>
            <v:rect style="position:absolute;left:3508;top:5778;width:140;height:495" filled="true" fillcolor="#ff0000" stroked="false">
              <v:fill type="solid"/>
            </v:rect>
            <v:rect style="position:absolute;left:3508;top:5778;width:140;height:495" filled="false" stroked="true" strokeweight=".661777pt" strokecolor="#000000">
              <v:stroke dashstyle="solid"/>
            </v:rect>
            <v:rect style="position:absolute;left:3993;top:5413;width:140;height:860" filled="true" fillcolor="#ff0000" stroked="false">
              <v:fill type="solid"/>
            </v:rect>
            <v:rect style="position:absolute;left:3993;top:5413;width:140;height:860" filled="false" stroked="true" strokeweight=".661869pt" strokecolor="#000000">
              <v:stroke dashstyle="solid"/>
            </v:rect>
            <v:rect style="position:absolute;left:4478;top:5559;width:140;height:713" filled="true" fillcolor="#ff0000" stroked="false">
              <v:fill type="solid"/>
            </v:rect>
            <v:rect style="position:absolute;left:4478;top:5559;width:140;height:713" filled="false" stroked="true" strokeweight=".661848pt" strokecolor="#000000">
              <v:stroke dashstyle="solid"/>
            </v:rect>
            <v:rect style="position:absolute;left:4965;top:5533;width:140;height:740" filled="true" fillcolor="#ff0000" stroked="false">
              <v:fill type="solid"/>
            </v:rect>
            <v:rect style="position:absolute;left:4965;top:5533;width:140;height:740" filled="false" stroked="true" strokeweight=".661853pt" strokecolor="#000000">
              <v:stroke dashstyle="solid"/>
            </v:rect>
            <v:rect style="position:absolute;left:5448;top:5468;width:140;height:804" filled="true" fillcolor="#ff0000" stroked="false">
              <v:fill type="solid"/>
            </v:rect>
            <v:rect style="position:absolute;left:5448;top:5468;width:140;height:804" filled="false" stroked="true" strokeweight=".661863pt" strokecolor="#000000">
              <v:stroke dashstyle="solid"/>
            </v:rect>
            <v:rect style="position:absolute;left:5932;top:5322;width:140;height:951" filled="true" fillcolor="#ff0000" stroked="false">
              <v:fill type="solid"/>
            </v:rect>
            <v:rect style="position:absolute;left:5932;top:5322;width:140;height:951" filled="false" stroked="true" strokeweight=".661878pt" strokecolor="#000000">
              <v:stroke dashstyle="solid"/>
            </v:rect>
            <v:rect style="position:absolute;left:6415;top:4875;width:140;height:1397" filled="true" fillcolor="#ff0000" stroked="false">
              <v:fill type="solid"/>
            </v:rect>
            <v:rect style="position:absolute;left:6415;top:4875;width:140;height:1397" filled="false" stroked="true" strokeweight=".6619pt" strokecolor="#000000">
              <v:stroke dashstyle="solid"/>
            </v:rect>
            <v:rect style="position:absolute;left:6902;top:4683;width:140;height:1589" filled="true" fillcolor="#ff0000" stroked="false">
              <v:fill type="solid"/>
            </v:rect>
            <v:rect style="position:absolute;left:6902;top:4683;width:140;height:1589" filled="false" stroked="true" strokeweight=".661904pt" strokecolor="#000000">
              <v:stroke dashstyle="solid"/>
            </v:rect>
            <v:rect style="position:absolute;left:2678;top:3884;width:135;height:2388" filled="true" fillcolor="#ffcc00" stroked="false">
              <v:fill type="solid"/>
            </v:rect>
            <v:rect style="position:absolute;left:2678;top:3884;width:135;height:2388" filled="false" stroked="true" strokeweight=".661912pt" strokecolor="#000000">
              <v:stroke dashstyle="solid"/>
            </v:rect>
            <v:rect style="position:absolute;left:3160;top:3481;width:140;height:2792" filled="true" fillcolor="#ffcc00" stroked="false">
              <v:fill type="solid"/>
            </v:rect>
            <v:rect style="position:absolute;left:3160;top:3481;width:140;height:2792" filled="false" stroked="true" strokeweight=".661914pt" strokecolor="#000000">
              <v:stroke dashstyle="solid"/>
            </v:rect>
            <v:rect style="position:absolute;left:3648;top:3306;width:137;height:2967" filled="true" fillcolor="#ffcc00" stroked="false">
              <v:fill type="solid"/>
            </v:rect>
            <v:rect style="position:absolute;left:3648;top:3306;width:137;height:2967" filled="false" stroked="true" strokeweight=".661914pt" strokecolor="#000000">
              <v:stroke dashstyle="solid"/>
            </v:rect>
            <v:rect style="position:absolute;left:4132;top:2614;width:137;height:3658" filled="true" fillcolor="#ffcc00" stroked="false">
              <v:fill type="solid"/>
            </v:rect>
            <v:rect style="position:absolute;left:4132;top:2614;width:137;height:3658" filled="false" stroked="true" strokeweight=".661916pt" strokecolor="#000000">
              <v:stroke dashstyle="solid"/>
            </v:rect>
            <v:shape style="position:absolute;left:4617;top:2881;width:140;height:3392" coordorigin="4618,2881" coordsize="140,3392" path="m4757,2881l4618,2881,4618,2953,4618,6273,4757,6273,4757,2953,4757,2881xe" filled="true" fillcolor="#ffcc00" stroked="false">
              <v:path arrowok="t"/>
              <v:fill type="solid"/>
            </v:shape>
            <v:rect style="position:absolute;left:4617;top:2881;width:140;height:3392" filled="false" stroked="true" strokeweight=".661915pt" strokecolor="#000000">
              <v:stroke dashstyle="solid"/>
            </v:rect>
            <v:rect style="position:absolute;left:5104;top:2718;width:135;height:3555" filled="true" fillcolor="#ffcc00" stroked="false">
              <v:fill type="solid"/>
            </v:rect>
            <v:rect style="position:absolute;left:5104;top:2718;width:135;height:3555" filled="false" stroked="true" strokeweight=".661916pt" strokecolor="#000000">
              <v:stroke dashstyle="solid"/>
            </v:rect>
            <v:rect style="position:absolute;left:5587;top:3368;width:137;height:2904" filled="true" fillcolor="#ffcc00" stroked="false">
              <v:fill type="solid"/>
            </v:rect>
            <v:rect style="position:absolute;left:5587;top:3368;width:137;height:2904" filled="false" stroked="true" strokeweight=".661914pt" strokecolor="#000000">
              <v:stroke dashstyle="solid"/>
            </v:rect>
            <v:rect style="position:absolute;left:6072;top:3214;width:135;height:3058" filled="true" fillcolor="#ffcc00" stroked="false">
              <v:fill type="solid"/>
            </v:rect>
            <v:rect style="position:absolute;left:6071;top:3214;width:135;height:3058" filled="false" stroked="true" strokeweight=".661915pt" strokecolor="#000000">
              <v:stroke dashstyle="solid"/>
            </v:rect>
            <v:rect style="position:absolute;left:6554;top:2074;width:140;height:4198" filled="true" fillcolor="#ffcc00" stroked="false">
              <v:fill type="solid"/>
            </v:rect>
            <v:rect style="position:absolute;left:6554;top:2074;width:140;height:4198" filled="false" stroked="true" strokeweight=".661916pt" strokecolor="#000000">
              <v:stroke dashstyle="solid"/>
            </v:rect>
            <v:rect style="position:absolute;left:7041;top:1287;width:137;height:4985" filled="true" fillcolor="#ffcc00" stroked="false">
              <v:fill type="solid"/>
            </v:rect>
            <v:rect style="position:absolute;left:7041;top:1287;width:137;height:4985" filled="false" stroked="true" strokeweight=".661917pt" strokecolor="#000000">
              <v:stroke dashstyle="solid"/>
            </v:rect>
            <v:shape style="position:absolute;left:2392;top:574;width:4892;height:5741" coordorigin="2393,575" coordsize="4892,5741" path="m2436,575l2436,6273m2393,6273l2479,6273m2393,5706l2479,5706m2393,5133l2479,5133m2393,4566l2479,4566m2393,3993l2479,3993m2393,3426l2479,3426m2393,2855l2479,2855m2393,2286l2479,2286m2393,1715l2479,1715m2393,1146l2479,1146m2393,575l2479,575m2436,6273l7284,6273m2436,6316l2436,6232m2921,6316l2921,6232m3408,6316l3408,6232m3890,6316l3890,6232m4375,6316l4375,6232m4862,6316l4862,6232m5345,6316l5345,6232m5830,6316l5830,6232m6312,6316l6312,6232m6799,6316l6799,6232m7284,6316l7284,6232e" filled="false" stroked="true" strokeweight=".12pt" strokecolor="#000000">
              <v:path arrowok="t"/>
              <v:stroke dashstyle="solid"/>
            </v:shape>
            <v:shape style="position:absolute;left:7284;top:574;width:2;height:5698" coordorigin="7284,575" coordsize="0,5698" path="m7284,1189l7284,6273m7284,575l7284,952e" filled="false" stroked="true" strokeweight=".12pt" strokecolor="#000000">
              <v:path arrowok="t"/>
              <v:stroke dashstyle="solid"/>
            </v:shape>
            <v:shape style="position:absolute;left:7240;top:574;width:87;height:5698" coordorigin="7241,575" coordsize="87,5698" path="m7241,6273l7327,6273m7241,5461l7327,5461m7241,4645l7327,4645m7241,3832l7327,3832m7241,3016l7327,3016m7241,2202l7327,2202m7241,1386l7327,1386m7241,575l7327,575e" filled="false" stroked="true" strokeweight=".12pt" strokecolor="#000000">
              <v:path arrowok="t"/>
              <v:stroke dashstyle="solid"/>
            </v:shape>
            <v:shape style="position:absolute;left:2678;top:2454;width:1940;height:1666" coordorigin="2678,2454" coordsize="1940,1666" path="m2678,3112l3161,4120m3161,4120l3648,3551m3648,3551l4133,2454m4133,2454l4618,2848e" filled="false" stroked="true" strokeweight="1.982878pt" strokecolor="#ff0000">
              <v:path arrowok="t"/>
              <v:stroke dashstyle="solid"/>
            </v:shape>
            <v:shape style="position:absolute;left:4597;top:2805;width:102;height:127" coordorigin="4598,2805" coordsize="102,127" path="m4699,2805l4598,2805,4598,2838,4598,2861,4598,2867,4598,2893,4598,2932,4699,2932,4699,2893,4699,2867,4699,2861,4699,2838,4699,2805xe" filled="true" fillcolor="#ff0000" stroked="false">
              <v:path arrowok="t"/>
              <v:fill type="solid"/>
            </v:shape>
            <v:shape style="position:absolute;left:5104;top:855;width:1937;height:2031" coordorigin="5105,856" coordsize="1937,2031" path="m5105,2886l5587,1751m5587,1751l6072,1216m6072,1216l6559,856m6559,856l7042,1084e" filled="false" stroked="true" strokeweight="1.982878pt" strokecolor="#ff0000">
              <v:path arrowok="t"/>
              <v:stroke dashstyle="solid"/>
            </v:shape>
            <v:rect style="position:absolute;left:2628;top:3061;width:96;height:96" filled="true" fillcolor="#00ccff" stroked="false">
              <v:fill type="solid"/>
            </v:rect>
            <v:rect style="position:absolute;left:2627;top:3061;width:96;height:96" filled="false" stroked="true" strokeweight=".660959pt" strokecolor="#3265ff">
              <v:stroke dashstyle="solid"/>
            </v:rect>
            <v:rect style="position:absolute;left:3112;top:4069;width:96;height:96" filled="true" fillcolor="#00ccff" stroked="false">
              <v:fill type="solid"/>
            </v:rect>
            <v:rect style="position:absolute;left:3112;top:4069;width:96;height:96" filled="false" stroked="true" strokeweight=".660959pt" strokecolor="#3265ff">
              <v:stroke dashstyle="solid"/>
            </v:rect>
            <v:rect style="position:absolute;left:3600;top:3500;width:96;height:96" filled="true" fillcolor="#00ccff" stroked="false">
              <v:fill type="solid"/>
            </v:rect>
            <v:rect style="position:absolute;left:3599;top:3500;width:97;height:96" filled="false" stroked="true" strokeweight=".660959pt" strokecolor="#3265ff">
              <v:stroke dashstyle="solid"/>
            </v:rect>
            <v:rect style="position:absolute;left:4082;top:2403;width:96;height:96" filled="true" fillcolor="#00ccff" stroked="false">
              <v:fill type="solid"/>
            </v:rect>
            <v:rect style="position:absolute;left:4082;top:2403;width:96;height:96" filled="false" stroked="true" strokeweight=".660959pt" strokecolor="#3265ff">
              <v:stroke dashstyle="solid"/>
            </v:rect>
            <v:rect style="position:absolute;left:4567;top:2797;width:96;height:96" filled="true" fillcolor="#00ccff" stroked="false">
              <v:fill type="solid"/>
            </v:rect>
            <v:rect style="position:absolute;left:4567;top:2797;width:96;height:96" filled="false" stroked="true" strokeweight=".660959pt" strokecolor="#3265ff">
              <v:stroke dashstyle="solid"/>
            </v:rect>
            <v:rect style="position:absolute;left:5133;top:2838;width:17;height:96" filled="true" fillcolor="#00ccff" stroked="false">
              <v:fill type="solid"/>
            </v:rect>
            <v:rect style="position:absolute;left:5054;top:2838;width:96;height:96" filled="false" stroked="true" strokeweight=".660959pt" strokecolor="#3265ff">
              <v:stroke dashstyle="solid"/>
            </v:rect>
            <v:rect style="position:absolute;left:5536;top:1700;width:96;height:96" filled="true" fillcolor="#00ccff" stroked="false">
              <v:fill type="solid"/>
            </v:rect>
            <v:rect style="position:absolute;left:5536;top:1700;width:97;height:96" filled="false" stroked="true" strokeweight=".660959pt" strokecolor="#3265ff">
              <v:stroke dashstyle="solid"/>
            </v:rect>
            <v:rect style="position:absolute;left:6021;top:1165;width:96;height:96" filled="true" fillcolor="#00ccff" stroked="false">
              <v:fill type="solid"/>
            </v:rect>
            <v:rect style="position:absolute;left:6021;top:1165;width:96;height:96" filled="false" stroked="true" strokeweight=".660959pt" strokecolor="#3265ff">
              <v:stroke dashstyle="solid"/>
            </v:rect>
            <v:rect style="position:absolute;left:6508;top:805;width:96;height:96" filled="true" fillcolor="#00ccff" stroked="false">
              <v:fill type="solid"/>
            </v:rect>
            <v:rect style="position:absolute;left:6508;top:805;width:96;height:96" filled="false" stroked="true" strokeweight=".660959pt" strokecolor="#3265ff">
              <v:stroke dashstyle="solid"/>
            </v:rect>
            <v:rect style="position:absolute;left:6991;top:1033;width:99;height:96" filled="true" fillcolor="#00ccff" stroked="false">
              <v:fill type="solid"/>
            </v:rect>
            <v:rect style="position:absolute;left:6991;top:1033;width:99;height:96" filled="false" stroked="true" strokeweight=".660936pt" strokecolor="#3265ff">
              <v:stroke dashstyle="solid"/>
            </v:rect>
            <v:shape style="position:absolute;left:2786;top:3006;width:440;height:240" coordorigin="2786,3006" coordsize="440,240" path="m3226,3006l3194,3006,3194,3217,2786,3217,2786,3246,3194,3246,3226,3246,3226,3217,3226,3006xe" filled="true" fillcolor="#000000" stroked="false">
              <v:path arrowok="t"/>
              <v:fill type="solid"/>
            </v:shape>
            <v:rect style="position:absolute;left:2760;top:2979;width:435;height:238" filled="true" fillcolor="#ffffff" stroked="false">
              <v:fill type="solid"/>
            </v:rect>
            <v:rect style="position:absolute;left:2760;top:2979;width:435;height:238" filled="false" stroked="true" strokeweight=".12pt" strokecolor="#000000">
              <v:stroke dashstyle="solid"/>
            </v:rect>
            <v:shape style="position:absolute;left:3271;top:4014;width:437;height:240" coordorigin="3271,4014" coordsize="437,240" path="m3708,4014l3679,4014,3679,4225,3271,4225,3271,4254,3679,4254,3708,4254,3708,4225,3708,4014xe" filled="true" fillcolor="#000000" stroked="false">
              <v:path arrowok="t"/>
              <v:fill type="solid"/>
            </v:shape>
            <v:rect style="position:absolute;left:3244;top:3987;width:435;height:238" filled="true" fillcolor="#ffffff" stroked="false">
              <v:fill type="solid"/>
            </v:rect>
            <v:rect style="position:absolute;left:3244;top:3987;width:435;height:238" filled="false" stroked="true" strokeweight=".12pt" strokecolor="#000000">
              <v:stroke dashstyle="solid"/>
            </v:rect>
            <v:shape style="position:absolute;left:3758;top:3445;width:437;height:240" coordorigin="3758,3445" coordsize="437,240" path="m4195,3445l4166,3445,4166,3657,3758,3657,3758,3685,4166,3685,4195,3685,4195,3657,4195,3445xe" filled="true" fillcolor="#000000" stroked="false">
              <v:path arrowok="t"/>
              <v:fill type="solid"/>
            </v:shape>
            <v:rect style="position:absolute;left:3732;top:3418;width:435;height:238" filled="true" fillcolor="#ffffff" stroked="false">
              <v:fill type="solid"/>
            </v:rect>
            <v:rect style="position:absolute;left:3732;top:3418;width:435;height:238" filled="false" stroked="true" strokeweight=".12pt" strokecolor="#000000">
              <v:stroke dashstyle="solid"/>
            </v:rect>
            <v:shape style="position:absolute;left:4243;top:2348;width:437;height:240" coordorigin="4243,2349" coordsize="437,240" path="m4680,2349l4649,2349,4649,2560,4243,2560,4243,2589,4649,2589,4680,2589,4680,2560,4680,2349xe" filled="true" fillcolor="#000000" stroked="false">
              <v:path arrowok="t"/>
              <v:fill type="solid"/>
            </v:shape>
            <v:rect style="position:absolute;left:4216;top:2322;width:432;height:238" filled="true" fillcolor="#ffffff" stroked="false">
              <v:fill type="solid"/>
            </v:rect>
            <v:rect style="position:absolute;left:4216;top:2322;width:432;height:238" filled="false" stroked="true" strokeweight=".12pt" strokecolor="#000000">
              <v:stroke dashstyle="solid"/>
            </v:rect>
            <v:shape style="position:absolute;left:4725;top:2742;width:437;height:240" coordorigin="4726,2742" coordsize="437,240" path="m5162,2742l5134,2742,5134,2953,4726,2953,4726,2982,5134,2982,5162,2982,5162,2953,5162,2742xe" filled="true" fillcolor="#000000" stroked="false">
              <v:path arrowok="t"/>
              <v:fill type="solid"/>
            </v:shape>
            <v:rect style="position:absolute;left:4699;top:2715;width:435;height:238" filled="true" fillcolor="#ffffff" stroked="false">
              <v:fill type="solid"/>
            </v:rect>
            <v:rect style="position:absolute;left:4699;top:2715;width:435;height:238" filled="false" stroked="true" strokeweight=".12pt" strokecolor="#000000">
              <v:stroke dashstyle="solid"/>
            </v:rect>
            <v:shape style="position:absolute;left:5212;top:2780;width:437;height:243" coordorigin="5213,2781" coordsize="437,243" path="m5650,2781l5621,2781,5621,2992,5213,2992,5213,3023,5621,3023,5650,3023,5650,2992,5650,2781xe" filled="true" fillcolor="#000000" stroked="false">
              <v:path arrowok="t"/>
              <v:fill type="solid"/>
            </v:shape>
            <v:rect style="position:absolute;left:5186;top:2754;width:435;height:238" filled="true" fillcolor="#ffffff" stroked="false">
              <v:fill type="solid"/>
            </v:rect>
            <v:rect style="position:absolute;left:5186;top:2754;width:435;height:238" filled="false" stroked="true" strokeweight=".12pt" strokecolor="#000000">
              <v:stroke dashstyle="solid"/>
            </v:rect>
            <v:shape style="position:absolute;left:5697;top:1645;width:437;height:240" coordorigin="5698,1645" coordsize="437,240" path="m6134,1645l6103,1645,6103,1857,5698,1857,5698,1885,6103,1885,6134,1885,6134,1857,6134,1645xe" filled="true" fillcolor="#000000" stroked="false">
              <v:path arrowok="t"/>
              <v:fill type="solid"/>
            </v:shape>
            <v:rect style="position:absolute;left:5671;top:1618;width:432;height:238" filled="true" fillcolor="#ffffff" stroked="false">
              <v:fill type="solid"/>
            </v:rect>
            <v:rect style="position:absolute;left:5671;top:1618;width:432;height:238" filled="false" stroked="true" strokeweight=".12pt" strokecolor="#000000">
              <v:stroke dashstyle="solid"/>
            </v:rect>
            <v:shape style="position:absolute;left:6180;top:1110;width:437;height:240" coordorigin="6180,1110" coordsize="437,240" path="m6617,1110l6588,1110,6588,1321,6180,1321,6180,1350,6588,1350,6617,1350,6617,1321,6617,1110xe" filled="true" fillcolor="#000000" stroked="false">
              <v:path arrowok="t"/>
              <v:fill type="solid"/>
            </v:shape>
            <v:rect style="position:absolute;left:6153;top:1083;width:435;height:238" filled="true" fillcolor="#ffffff" stroked="false">
              <v:fill type="solid"/>
            </v:rect>
            <v:rect style="position:absolute;left:6153;top:1083;width:435;height:238" filled="false" stroked="true" strokeweight=".12pt" strokecolor="#000000">
              <v:stroke dashstyle="solid"/>
            </v:rect>
            <v:shape style="position:absolute;left:6667;top:750;width:437;height:240" coordorigin="6667,750" coordsize="437,240" path="m7104,750l7075,750,7075,961,6667,961,6667,990,7075,990,7104,990,7104,961,7104,750xe" filled="true" fillcolor="#000000" stroked="false">
              <v:path arrowok="t"/>
              <v:fill type="solid"/>
            </v:shape>
            <v:rect style="position:absolute;left:6640;top:723;width:435;height:238" filled="true" fillcolor="#ffffff" stroked="false">
              <v:fill type="solid"/>
            </v:rect>
            <v:rect style="position:absolute;left:6640;top:723;width:435;height:238" filled="false" stroked="true" strokeweight=".12pt" strokecolor="#000000">
              <v:stroke dashstyle="solid"/>
            </v:rect>
            <v:shape style="position:absolute;left:7152;top:978;width:437;height:240" coordorigin="7152,978" coordsize="437,240" path="m7589,978l7560,978,7560,1189,7152,1189,7152,1218,7560,1218,7589,1218,7589,1189,7589,978xe" filled="true" fillcolor="#000000" stroked="false">
              <v:path arrowok="t"/>
              <v:fill type="solid"/>
            </v:shape>
            <v:shape style="position:absolute;left:7125;top:951;width:3569;height:2777" coordorigin="7126,952" coordsize="3569,2777" path="m7126,1189l7560,1189,7560,952,7126,952,7126,1189xm7918,3729l10694,3729,10694,3114,7918,3114,7918,3729xe" filled="false" stroked="true" strokeweight=".12pt" strokecolor="#000000">
              <v:path arrowok="t"/>
              <v:stroke dashstyle="solid"/>
            </v:shape>
            <v:rect style="position:absolute;left:7960;top:3176;width:291;height:84" filled="true" fillcolor="#ff0000" stroked="false">
              <v:fill type="solid"/>
            </v:rect>
            <v:rect style="position:absolute;left:7960;top:3176;width:291;height:84" filled="false" stroked="true" strokeweight=".660148pt" strokecolor="#000000">
              <v:stroke dashstyle="solid"/>
            </v:rect>
            <v:rect style="position:absolute;left:7960;top:3382;width:291;height:82" filled="true" fillcolor="#ffcc00" stroked="false">
              <v:fill type="solid"/>
            </v:rect>
            <v:rect style="position:absolute;left:7960;top:3382;width:291;height:82" filled="false" stroked="true" strokeweight=".660141pt" strokecolor="#000000">
              <v:stroke dashstyle="solid"/>
            </v:rect>
            <v:shape style="position:absolute;left:7960;top:3618;width:296;height:2" coordorigin="7961,3618" coordsize="296,0" path="m7961,3618l8062,3618m8146,3618l8256,3618e" filled="false" stroked="true" strokeweight="1.980001pt" strokecolor="#ff0000">
              <v:path arrowok="t"/>
              <v:stroke dashstyle="solid"/>
            </v:shape>
            <v:rect style="position:absolute;left:8061;top:3574;width:84;height:82" filled="true" fillcolor="#00ccff" stroked="false">
              <v:fill type="solid"/>
            </v:rect>
            <v:rect style="position:absolute;left:8061;top:3574;width:84;height:82" filled="false" stroked="true" strokeweight=".660932pt" strokecolor="#3265ff">
              <v:stroke dashstyle="solid"/>
            </v:rect>
            <v:rect style="position:absolute;left:1495;top:349;width:9243;height:6351" filled="false" stroked="true" strokeweight=".660615pt" strokecolor="#000000">
              <v:stroke dashstyle="solid"/>
            </v:rect>
            <v:shape style="position:absolute;left:1672;top:494;width:633;height:156" type="#_x0000_t202" filled="false" stroked="false">
              <v:textbox inset="0,0,0,0">
                <w:txbxContent>
                  <w:p>
                    <w:pPr>
                      <w:spacing w:line="155" w:lineRule="exact" w:before="0"/>
                      <w:ind w:left="0" w:right="0" w:firstLine="0"/>
                      <w:jc w:val="left"/>
                      <w:rPr>
                        <w:rFonts w:ascii="Arial"/>
                        <w:sz w:val="14"/>
                      </w:rPr>
                    </w:pPr>
                    <w:r>
                      <w:rPr>
                        <w:rFonts w:ascii="Arial"/>
                        <w:sz w:val="14"/>
                      </w:rPr>
                      <w:t>10,000.00</w:t>
                    </w:r>
                  </w:p>
                </w:txbxContent>
              </v:textbox>
              <w10:wrap type="none"/>
            </v:shape>
            <v:shape style="position:absolute;left:7392;top:494;width:410;height:156" type="#_x0000_t202" filled="false" stroked="false">
              <v:textbox inset="0,0,0,0">
                <w:txbxContent>
                  <w:p>
                    <w:pPr>
                      <w:spacing w:line="155" w:lineRule="exact" w:before="0"/>
                      <w:ind w:left="0" w:right="0" w:firstLine="0"/>
                      <w:jc w:val="left"/>
                      <w:rPr>
                        <w:rFonts w:ascii="Arial"/>
                        <w:sz w:val="14"/>
                      </w:rPr>
                    </w:pPr>
                    <w:r>
                      <w:rPr>
                        <w:rFonts w:ascii="Arial"/>
                        <w:sz w:val="14"/>
                      </w:rPr>
                      <w:t>35.0%</w:t>
                    </w:r>
                  </w:p>
                </w:txbxContent>
              </v:textbox>
              <w10:wrap type="none"/>
            </v:shape>
            <v:shape style="position:absolute;left:6664;top:761;width:413;height:156" type="#_x0000_t202" filled="false" stroked="false">
              <v:textbox inset="0,0,0,0">
                <w:txbxContent>
                  <w:p>
                    <w:pPr>
                      <w:spacing w:line="155" w:lineRule="exact" w:before="0"/>
                      <w:ind w:left="0" w:right="0" w:firstLine="0"/>
                      <w:jc w:val="left"/>
                      <w:rPr>
                        <w:rFonts w:ascii="Arial"/>
                        <w:sz w:val="14"/>
                      </w:rPr>
                    </w:pPr>
                    <w:r>
                      <w:rPr>
                        <w:rFonts w:ascii="Arial"/>
                        <w:sz w:val="14"/>
                      </w:rPr>
                      <w:t>33.3%</w:t>
                    </w:r>
                  </w:p>
                </w:txbxContent>
              </v:textbox>
              <w10:wrap type="none"/>
            </v:shape>
            <v:shape style="position:absolute;left:1747;top:1066;width:559;height:156" type="#_x0000_t202" filled="false" stroked="false">
              <v:textbox inset="0,0,0,0">
                <w:txbxContent>
                  <w:p>
                    <w:pPr>
                      <w:spacing w:line="155" w:lineRule="exact" w:before="0"/>
                      <w:ind w:left="0" w:right="0" w:firstLine="0"/>
                      <w:jc w:val="left"/>
                      <w:rPr>
                        <w:rFonts w:ascii="Arial"/>
                        <w:sz w:val="14"/>
                      </w:rPr>
                    </w:pPr>
                    <w:r>
                      <w:rPr>
                        <w:rFonts w:ascii="Arial"/>
                        <w:sz w:val="14"/>
                      </w:rPr>
                      <w:t>9,000.00</w:t>
                    </w:r>
                  </w:p>
                </w:txbxContent>
              </v:textbox>
              <w10:wrap type="none"/>
            </v:shape>
            <v:shape style="position:absolute;left:7149;top:989;width:653;height:472" type="#_x0000_t202" filled="false" stroked="false">
              <v:textbox inset="0,0,0,0">
                <w:txbxContent>
                  <w:p>
                    <w:pPr>
                      <w:spacing w:line="155" w:lineRule="exact" w:before="0"/>
                      <w:ind w:left="0" w:right="0" w:firstLine="0"/>
                      <w:jc w:val="left"/>
                      <w:rPr>
                        <w:rFonts w:ascii="Arial"/>
                        <w:sz w:val="14"/>
                      </w:rPr>
                    </w:pPr>
                    <w:r>
                      <w:rPr>
                        <w:rFonts w:ascii="Arial"/>
                        <w:sz w:val="14"/>
                      </w:rPr>
                      <w:t>31.9%</w:t>
                    </w:r>
                  </w:p>
                  <w:p>
                    <w:pPr>
                      <w:spacing w:line="240" w:lineRule="auto" w:before="6"/>
                      <w:rPr>
                        <w:rFonts w:ascii="Arial"/>
                        <w:sz w:val="13"/>
                      </w:rPr>
                    </w:pPr>
                  </w:p>
                  <w:p>
                    <w:pPr>
                      <w:spacing w:line="161" w:lineRule="exact" w:before="0"/>
                      <w:ind w:left="242" w:right="0" w:firstLine="0"/>
                      <w:jc w:val="left"/>
                      <w:rPr>
                        <w:rFonts w:ascii="Arial"/>
                        <w:sz w:val="14"/>
                      </w:rPr>
                    </w:pPr>
                    <w:r>
                      <w:rPr>
                        <w:rFonts w:ascii="Arial"/>
                        <w:sz w:val="14"/>
                      </w:rPr>
                      <w:t>30.0%</w:t>
                    </w:r>
                  </w:p>
                </w:txbxContent>
              </v:textbox>
              <w10:wrap type="none"/>
            </v:shape>
            <v:shape style="position:absolute;left:1747;top:1634;width:559;height:156" type="#_x0000_t202" filled="false" stroked="false">
              <v:textbox inset="0,0,0,0">
                <w:txbxContent>
                  <w:p>
                    <w:pPr>
                      <w:spacing w:line="155" w:lineRule="exact" w:before="0"/>
                      <w:ind w:left="0" w:right="0" w:firstLine="0"/>
                      <w:jc w:val="left"/>
                      <w:rPr>
                        <w:rFonts w:ascii="Arial"/>
                        <w:sz w:val="14"/>
                      </w:rPr>
                    </w:pPr>
                    <w:r>
                      <w:rPr>
                        <w:rFonts w:ascii="Arial"/>
                        <w:sz w:val="14"/>
                      </w:rPr>
                      <w:t>8,000.00</w:t>
                    </w:r>
                  </w:p>
                </w:txbxContent>
              </v:textbox>
              <w10:wrap type="none"/>
            </v:shape>
            <v:shape style="position:absolute;left:1747;top:2206;width:559;height:156" type="#_x0000_t202" filled="false" stroked="false">
              <v:textbox inset="0,0,0,0">
                <w:txbxContent>
                  <w:p>
                    <w:pPr>
                      <w:spacing w:line="155" w:lineRule="exact" w:before="0"/>
                      <w:ind w:left="0" w:right="0" w:firstLine="0"/>
                      <w:jc w:val="left"/>
                      <w:rPr>
                        <w:rFonts w:ascii="Arial"/>
                        <w:sz w:val="14"/>
                      </w:rPr>
                    </w:pPr>
                    <w:r>
                      <w:rPr>
                        <w:rFonts w:ascii="Arial"/>
                        <w:sz w:val="14"/>
                      </w:rPr>
                      <w:t>7,000.00</w:t>
                    </w:r>
                  </w:p>
                </w:txbxContent>
              </v:textbox>
              <w10:wrap type="none"/>
            </v:shape>
            <v:shape style="position:absolute;left:7392;top:2122;width:410;height:156" type="#_x0000_t202" filled="false" stroked="false">
              <v:textbox inset="0,0,0,0">
                <w:txbxContent>
                  <w:p>
                    <w:pPr>
                      <w:spacing w:line="155" w:lineRule="exact" w:before="0"/>
                      <w:ind w:left="0" w:right="0" w:firstLine="0"/>
                      <w:jc w:val="left"/>
                      <w:rPr>
                        <w:rFonts w:ascii="Arial"/>
                        <w:sz w:val="14"/>
                      </w:rPr>
                    </w:pPr>
                    <w:r>
                      <w:rPr>
                        <w:rFonts w:ascii="Arial"/>
                        <w:sz w:val="14"/>
                      </w:rPr>
                      <w:t>25.0%</w:t>
                    </w:r>
                  </w:p>
                </w:txbxContent>
              </v:textbox>
              <w10:wrap type="none"/>
            </v:shape>
            <v:shape style="position:absolute;left:4240;top:2359;width:410;height:156" type="#_x0000_t202" filled="false" stroked="false">
              <v:textbox inset="0,0,0,0">
                <w:txbxContent>
                  <w:p>
                    <w:pPr>
                      <w:spacing w:line="155" w:lineRule="exact" w:before="0"/>
                      <w:ind w:left="0" w:right="0" w:firstLine="0"/>
                      <w:jc w:val="left"/>
                      <w:rPr>
                        <w:rFonts w:ascii="Arial"/>
                        <w:sz w:val="14"/>
                      </w:rPr>
                    </w:pPr>
                    <w:r>
                      <w:rPr>
                        <w:rFonts w:ascii="Arial"/>
                        <w:sz w:val="14"/>
                      </w:rPr>
                      <w:t>23.5%</w:t>
                    </w:r>
                  </w:p>
                </w:txbxContent>
              </v:textbox>
              <w10:wrap type="none"/>
            </v:shape>
            <v:shape style="position:absolute;left:1747;top:2774;width:559;height:156" type="#_x0000_t202" filled="false" stroked="false">
              <v:textbox inset="0,0,0,0">
                <w:txbxContent>
                  <w:p>
                    <w:pPr>
                      <w:spacing w:line="155" w:lineRule="exact" w:before="0"/>
                      <w:ind w:left="0" w:right="0" w:firstLine="0"/>
                      <w:jc w:val="left"/>
                      <w:rPr>
                        <w:rFonts w:ascii="Arial"/>
                        <w:sz w:val="14"/>
                      </w:rPr>
                    </w:pPr>
                    <w:r>
                      <w:rPr>
                        <w:rFonts w:ascii="Arial"/>
                        <w:sz w:val="14"/>
                      </w:rPr>
                      <w:t>6,000.00</w:t>
                    </w:r>
                  </w:p>
                </w:txbxContent>
              </v:textbox>
              <w10:wrap type="none"/>
            </v:shape>
            <v:shape style="position:absolute;left:4723;top:2753;width:900;height:196" type="#_x0000_t202" filled="false" stroked="false">
              <v:textbox inset="0,0,0,0">
                <w:txbxContent>
                  <w:p>
                    <w:pPr>
                      <w:spacing w:line="228" w:lineRule="auto" w:before="0"/>
                      <w:ind w:left="0" w:right="0" w:firstLine="0"/>
                      <w:jc w:val="left"/>
                      <w:rPr>
                        <w:rFonts w:ascii="Arial"/>
                        <w:sz w:val="14"/>
                      </w:rPr>
                    </w:pPr>
                    <w:r>
                      <w:rPr>
                        <w:rFonts w:ascii="Arial"/>
                        <w:sz w:val="14"/>
                      </w:rPr>
                      <w:t>21.0% </w:t>
                    </w:r>
                    <w:r>
                      <w:rPr>
                        <w:rFonts w:ascii="Arial"/>
                        <w:position w:val="-3"/>
                        <w:sz w:val="14"/>
                      </w:rPr>
                      <w:t>20.8%</w:t>
                    </w:r>
                  </w:p>
                </w:txbxContent>
              </v:textbox>
              <w10:wrap type="none"/>
            </v:shape>
            <v:shape style="position:absolute;left:7392;top:2935;width:410;height:156" type="#_x0000_t202" filled="false" stroked="false">
              <v:textbox inset="0,0,0,0">
                <w:txbxContent>
                  <w:p>
                    <w:pPr>
                      <w:spacing w:line="155" w:lineRule="exact" w:before="0"/>
                      <w:ind w:left="0" w:right="0" w:firstLine="0"/>
                      <w:jc w:val="left"/>
                      <w:rPr>
                        <w:rFonts w:ascii="Arial"/>
                        <w:sz w:val="14"/>
                      </w:rPr>
                    </w:pPr>
                    <w:r>
                      <w:rPr>
                        <w:rFonts w:ascii="Arial"/>
                        <w:sz w:val="14"/>
                      </w:rPr>
                      <w:t>20.0%</w:t>
                    </w:r>
                  </w:p>
                </w:txbxContent>
              </v:textbox>
              <w10:wrap type="none"/>
            </v:shape>
            <v:shape style="position:absolute;left:1747;top:3346;width:559;height:156" type="#_x0000_t202" filled="false" stroked="false">
              <v:textbox inset="0,0,0,0">
                <w:txbxContent>
                  <w:p>
                    <w:pPr>
                      <w:spacing w:line="155" w:lineRule="exact" w:before="0"/>
                      <w:ind w:left="0" w:right="0" w:firstLine="0"/>
                      <w:jc w:val="left"/>
                      <w:rPr>
                        <w:rFonts w:ascii="Arial"/>
                        <w:sz w:val="14"/>
                      </w:rPr>
                    </w:pPr>
                    <w:r>
                      <w:rPr>
                        <w:rFonts w:ascii="Arial"/>
                        <w:sz w:val="14"/>
                      </w:rPr>
                      <w:t>5,000.00</w:t>
                    </w:r>
                  </w:p>
                </w:txbxContent>
              </v:textbox>
              <w10:wrap type="none"/>
            </v:shape>
            <v:shape style="position:absolute;left:3756;top:3458;width:413;height:156" type="#_x0000_t202" filled="false" stroked="false">
              <v:textbox inset="0,0,0,0">
                <w:txbxContent>
                  <w:p>
                    <w:pPr>
                      <w:spacing w:line="155" w:lineRule="exact" w:before="0"/>
                      <w:ind w:left="0" w:right="0" w:firstLine="0"/>
                      <w:jc w:val="left"/>
                      <w:rPr>
                        <w:rFonts w:ascii="Arial"/>
                        <w:sz w:val="14"/>
                      </w:rPr>
                    </w:pPr>
                    <w:r>
                      <w:rPr>
                        <w:rFonts w:ascii="Arial"/>
                        <w:sz w:val="14"/>
                      </w:rPr>
                      <w:t>16.7%</w:t>
                    </w:r>
                  </w:p>
                </w:txbxContent>
              </v:textbox>
              <w10:wrap type="none"/>
            </v:shape>
            <v:shape style="position:absolute;left:8289;top:3144;width:2380;height:566" type="#_x0000_t202" filled="false" stroked="false">
              <v:textbox inset="0,0,0,0">
                <w:txbxContent>
                  <w:p>
                    <w:pPr>
                      <w:spacing w:line="304" w:lineRule="auto" w:before="0"/>
                      <w:ind w:left="0" w:right="-14" w:firstLine="0"/>
                      <w:jc w:val="left"/>
                      <w:rPr>
                        <w:rFonts w:ascii="Arial" w:hAnsi="Arial"/>
                        <w:sz w:val="14"/>
                      </w:rPr>
                    </w:pPr>
                    <w:r>
                      <w:rPr>
                        <w:rFonts w:ascii="Arial" w:hAnsi="Arial"/>
                        <w:sz w:val="14"/>
                      </w:rPr>
                      <w:t>Importaciones de petróleo y derivados Total importaciones nacionales</w:t>
                    </w:r>
                  </w:p>
                  <w:p>
                    <w:pPr>
                      <w:spacing w:line="161" w:lineRule="exact" w:before="0"/>
                      <w:ind w:left="0" w:right="0" w:firstLine="0"/>
                      <w:jc w:val="left"/>
                      <w:rPr>
                        <w:rFonts w:ascii="Arial" w:hAnsi="Arial"/>
                        <w:sz w:val="14"/>
                      </w:rPr>
                    </w:pPr>
                    <w:r>
                      <w:rPr>
                        <w:rFonts w:ascii="Arial" w:hAnsi="Arial"/>
                        <w:sz w:val="14"/>
                      </w:rPr>
                      <w:t>% Petróleo/importaciones</w:t>
                    </w:r>
                  </w:p>
                </w:txbxContent>
              </v:textbox>
              <w10:wrap type="none"/>
            </v:shape>
            <v:shape style="position:absolute;left:7392;top:3751;width:410;height:156" type="#_x0000_t202" filled="false" stroked="false">
              <v:textbox inset="0,0,0,0">
                <w:txbxContent>
                  <w:p>
                    <w:pPr>
                      <w:spacing w:line="155" w:lineRule="exact" w:before="0"/>
                      <w:ind w:left="0" w:right="0" w:firstLine="0"/>
                      <w:jc w:val="left"/>
                      <w:rPr>
                        <w:rFonts w:ascii="Arial"/>
                        <w:sz w:val="14"/>
                      </w:rPr>
                    </w:pPr>
                    <w:r>
                      <w:rPr>
                        <w:rFonts w:ascii="Arial"/>
                        <w:sz w:val="14"/>
                      </w:rPr>
                      <w:t>15.0%</w:t>
                    </w:r>
                  </w:p>
                </w:txbxContent>
              </v:textbox>
              <w10:wrap type="none"/>
            </v:shape>
            <v:shape style="position:absolute;left:1747;top:3914;width:559;height:156" type="#_x0000_t202" filled="false" stroked="false">
              <v:textbox inset="0,0,0,0">
                <w:txbxContent>
                  <w:p>
                    <w:pPr>
                      <w:spacing w:line="155" w:lineRule="exact" w:before="0"/>
                      <w:ind w:left="0" w:right="0" w:firstLine="0"/>
                      <w:jc w:val="left"/>
                      <w:rPr>
                        <w:rFonts w:ascii="Arial"/>
                        <w:sz w:val="14"/>
                      </w:rPr>
                    </w:pPr>
                    <w:r>
                      <w:rPr>
                        <w:rFonts w:ascii="Arial"/>
                        <w:sz w:val="14"/>
                      </w:rPr>
                      <w:t>4,000.00</w:t>
                    </w:r>
                  </w:p>
                </w:txbxContent>
              </v:textbox>
              <w10:wrap type="none"/>
            </v:shape>
            <v:shape style="position:absolute;left:3268;top:4025;width:413;height:156" type="#_x0000_t202" filled="false" stroked="false">
              <v:textbox inset="0,0,0,0">
                <w:txbxContent>
                  <w:p>
                    <w:pPr>
                      <w:spacing w:line="155" w:lineRule="exact" w:before="0"/>
                      <w:ind w:left="0" w:right="0" w:firstLine="0"/>
                      <w:jc w:val="left"/>
                      <w:rPr>
                        <w:rFonts w:ascii="Arial"/>
                        <w:sz w:val="14"/>
                      </w:rPr>
                    </w:pPr>
                    <w:r>
                      <w:rPr>
                        <w:rFonts w:ascii="Arial"/>
                        <w:sz w:val="14"/>
                      </w:rPr>
                      <w:t>13.2%</w:t>
                    </w:r>
                  </w:p>
                </w:txbxContent>
              </v:textbox>
              <w10:wrap type="none"/>
            </v:shape>
            <v:shape style="position:absolute;left:1747;top:4486;width:559;height:156" type="#_x0000_t202" filled="false" stroked="false">
              <v:textbox inset="0,0,0,0">
                <w:txbxContent>
                  <w:p>
                    <w:pPr>
                      <w:spacing w:line="155" w:lineRule="exact" w:before="0"/>
                      <w:ind w:left="0" w:right="0" w:firstLine="0"/>
                      <w:jc w:val="left"/>
                      <w:rPr>
                        <w:rFonts w:ascii="Arial"/>
                        <w:sz w:val="14"/>
                      </w:rPr>
                    </w:pPr>
                    <w:r>
                      <w:rPr>
                        <w:rFonts w:ascii="Arial"/>
                        <w:sz w:val="14"/>
                      </w:rPr>
                      <w:t>3,000.00</w:t>
                    </w:r>
                  </w:p>
                </w:txbxContent>
              </v:textbox>
              <w10:wrap type="none"/>
            </v:shape>
            <v:shape style="position:absolute;left:7392;top:4565;width:410;height:156" type="#_x0000_t202" filled="false" stroked="false">
              <v:textbox inset="0,0,0,0">
                <w:txbxContent>
                  <w:p>
                    <w:pPr>
                      <w:spacing w:line="155" w:lineRule="exact" w:before="0"/>
                      <w:ind w:left="0" w:right="0" w:firstLine="0"/>
                      <w:jc w:val="left"/>
                      <w:rPr>
                        <w:rFonts w:ascii="Arial"/>
                        <w:sz w:val="14"/>
                      </w:rPr>
                    </w:pPr>
                    <w:r>
                      <w:rPr>
                        <w:rFonts w:ascii="Arial"/>
                        <w:sz w:val="14"/>
                      </w:rPr>
                      <w:t>10.0%</w:t>
                    </w:r>
                  </w:p>
                </w:txbxContent>
              </v:textbox>
              <w10:wrap type="none"/>
            </v:shape>
            <v:shape style="position:absolute;left:1747;top:5054;width:559;height:156" type="#_x0000_t202" filled="false" stroked="false">
              <v:textbox inset="0,0,0,0">
                <w:txbxContent>
                  <w:p>
                    <w:pPr>
                      <w:spacing w:line="155" w:lineRule="exact" w:before="0"/>
                      <w:ind w:left="0" w:right="0" w:firstLine="0"/>
                      <w:jc w:val="left"/>
                      <w:rPr>
                        <w:rFonts w:ascii="Arial"/>
                        <w:sz w:val="14"/>
                      </w:rPr>
                    </w:pPr>
                    <w:r>
                      <w:rPr>
                        <w:rFonts w:ascii="Arial"/>
                        <w:sz w:val="14"/>
                      </w:rPr>
                      <w:t>2,000.00</w:t>
                    </w:r>
                  </w:p>
                </w:txbxContent>
              </v:textbox>
              <w10:wrap type="none"/>
            </v:shape>
            <v:shape style="position:absolute;left:7392;top:5381;width:336;height:156" type="#_x0000_t202" filled="false" stroked="false">
              <v:textbox inset="0,0,0,0">
                <w:txbxContent>
                  <w:p>
                    <w:pPr>
                      <w:spacing w:line="155" w:lineRule="exact" w:before="0"/>
                      <w:ind w:left="0" w:right="0" w:firstLine="0"/>
                      <w:jc w:val="left"/>
                      <w:rPr>
                        <w:rFonts w:ascii="Arial"/>
                        <w:sz w:val="14"/>
                      </w:rPr>
                    </w:pPr>
                    <w:r>
                      <w:rPr>
                        <w:rFonts w:ascii="Arial"/>
                        <w:sz w:val="14"/>
                      </w:rPr>
                      <w:t>5.0%</w:t>
                    </w:r>
                  </w:p>
                </w:txbxContent>
              </v:textbox>
              <w10:wrap type="none"/>
            </v:shape>
            <v:shape style="position:absolute;left:1747;top:5626;width:559;height:156" type="#_x0000_t202" filled="false" stroked="false">
              <v:textbox inset="0,0,0,0">
                <w:txbxContent>
                  <w:p>
                    <w:pPr>
                      <w:spacing w:line="155" w:lineRule="exact" w:before="0"/>
                      <w:ind w:left="0" w:right="0" w:firstLine="0"/>
                      <w:jc w:val="left"/>
                      <w:rPr>
                        <w:rFonts w:ascii="Arial"/>
                        <w:sz w:val="14"/>
                      </w:rPr>
                    </w:pPr>
                    <w:r>
                      <w:rPr>
                        <w:rFonts w:ascii="Arial"/>
                        <w:sz w:val="14"/>
                      </w:rPr>
                      <w:t>1,000.00</w:t>
                    </w:r>
                  </w:p>
                </w:txbxContent>
              </v:textbox>
              <w10:wrap type="none"/>
            </v:shape>
            <v:shape style="position:absolute;left:2085;top:6194;width:67;height:156" type="#_x0000_t202" filled="false" stroked="false">
              <v:textbox inset="0,0,0,0">
                <w:txbxContent>
                  <w:p>
                    <w:pPr>
                      <w:spacing w:line="155" w:lineRule="exact" w:before="0"/>
                      <w:ind w:left="0" w:right="0" w:firstLine="0"/>
                      <w:jc w:val="left"/>
                      <w:rPr>
                        <w:rFonts w:ascii="Arial"/>
                        <w:sz w:val="14"/>
                      </w:rPr>
                    </w:pPr>
                    <w:r>
                      <w:rPr>
                        <w:rFonts w:ascii="Arial"/>
                        <w:w w:val="99"/>
                        <w:sz w:val="14"/>
                      </w:rPr>
                      <w:t>-</w:t>
                    </w:r>
                  </w:p>
                </w:txbxContent>
              </v:textbox>
              <w10:wrap type="none"/>
            </v:shape>
            <v:shape style="position:absolute;left:7392;top:6194;width:336;height:156" type="#_x0000_t202" filled="false" stroked="false">
              <v:textbox inset="0,0,0,0">
                <w:txbxContent>
                  <w:p>
                    <w:pPr>
                      <w:spacing w:line="155" w:lineRule="exact" w:before="0"/>
                      <w:ind w:left="0" w:right="0" w:firstLine="0"/>
                      <w:jc w:val="left"/>
                      <w:rPr>
                        <w:rFonts w:ascii="Arial"/>
                        <w:sz w:val="14"/>
                      </w:rPr>
                    </w:pPr>
                    <w:r>
                      <w:rPr>
                        <w:rFonts w:ascii="Arial"/>
                        <w:sz w:val="14"/>
                      </w:rPr>
                      <w:t>0.0%</w:t>
                    </w:r>
                  </w:p>
                </w:txbxContent>
              </v:textbox>
              <w10:wrap type="none"/>
            </v:shape>
            <v:shape style="position:absolute;left:2527;top:6396;width:4736;height:156" type="#_x0000_t202" filled="false" stroked="false">
              <v:textbox inset="0,0,0,0">
                <w:txbxContent>
                  <w:p>
                    <w:pPr>
                      <w:spacing w:line="155" w:lineRule="exact" w:before="0"/>
                      <w:ind w:left="0" w:right="0" w:firstLine="0"/>
                      <w:jc w:val="left"/>
                      <w:rPr>
                        <w:rFonts w:ascii="Arial"/>
                        <w:sz w:val="14"/>
                      </w:rPr>
                    </w:pPr>
                    <w:r>
                      <w:rPr>
                        <w:rFonts w:ascii="Arial"/>
                        <w:sz w:val="14"/>
                      </w:rPr>
                      <w:t>1997 1998 1999 2000 2001 2002 2003 2004 2005 2006 *</w:t>
                    </w:r>
                  </w:p>
                </w:txbxContent>
              </v:textbox>
              <w10:wrap type="none"/>
            </v:shape>
            <v:shape style="position:absolute;left:2761;top:2980;width:432;height:236" type="#_x0000_t202" filled="false" stroked="false">
              <v:textbox inset="0,0,0,0">
                <w:txbxContent>
                  <w:p>
                    <w:pPr>
                      <w:spacing w:before="30"/>
                      <w:ind w:left="25" w:right="0" w:firstLine="0"/>
                      <w:jc w:val="left"/>
                      <w:rPr>
                        <w:rFonts w:ascii="Arial"/>
                        <w:sz w:val="14"/>
                      </w:rPr>
                    </w:pPr>
                    <w:r>
                      <w:rPr>
                        <w:rFonts w:ascii="Arial"/>
                        <w:sz w:val="14"/>
                      </w:rPr>
                      <w:t>19.4%</w:t>
                    </w:r>
                  </w:p>
                </w:txbxContent>
              </v:textbox>
              <w10:wrap type="none"/>
            </v:shape>
            <v:shape style="position:absolute;left:5672;top:1620;width:430;height:236" type="#_x0000_t202" filled="false" stroked="false">
              <v:textbox inset="0,0,0,0">
                <w:txbxContent>
                  <w:p>
                    <w:pPr>
                      <w:spacing w:before="30"/>
                      <w:ind w:left="22" w:right="0" w:firstLine="0"/>
                      <w:jc w:val="left"/>
                      <w:rPr>
                        <w:rFonts w:ascii="Arial"/>
                        <w:sz w:val="14"/>
                      </w:rPr>
                    </w:pPr>
                    <w:r>
                      <w:rPr>
                        <w:rFonts w:ascii="Arial"/>
                        <w:sz w:val="14"/>
                      </w:rPr>
                      <w:t>27.8%</w:t>
                    </w:r>
                  </w:p>
                </w:txbxContent>
              </v:textbox>
              <w10:wrap type="none"/>
            </v:shape>
            <v:shape style="position:absolute;left:6154;top:1084;width:432;height:236" type="#_x0000_t202" filled="false" stroked="false">
              <v:textbox inset="0,0,0,0">
                <w:txbxContent>
                  <w:p>
                    <w:pPr>
                      <w:spacing w:before="30"/>
                      <w:ind w:left="22" w:right="0" w:firstLine="0"/>
                      <w:jc w:val="left"/>
                      <w:rPr>
                        <w:rFonts w:ascii="Arial"/>
                        <w:sz w:val="14"/>
                      </w:rPr>
                    </w:pPr>
                    <w:r>
                      <w:rPr>
                        <w:rFonts w:ascii="Arial"/>
                        <w:sz w:val="14"/>
                      </w:rPr>
                      <w:t>31.1%</w:t>
                    </w:r>
                  </w:p>
                </w:txbxContent>
              </v:textbox>
              <w10:wrap type="none"/>
            </v:shape>
            <w10:wrap type="topAndBottom"/>
          </v:group>
        </w:pict>
      </w:r>
    </w:p>
    <w:p>
      <w:pPr>
        <w:spacing w:before="20"/>
        <w:ind w:left="219" w:right="315" w:firstLine="0"/>
        <w:jc w:val="left"/>
        <w:rPr>
          <w:sz w:val="16"/>
        </w:rPr>
      </w:pPr>
      <w:r>
        <w:rPr>
          <w:sz w:val="16"/>
        </w:rPr>
        <w:t>Fuente: “Estudio Prospectiva de la Demanda de Energía de República Dominicana”, Fundación Bariloche, con datos del Banco Central de la República Dominicana, Agosto 2008.</w:t>
      </w:r>
    </w:p>
    <w:p>
      <w:pPr>
        <w:spacing w:after="0"/>
        <w:jc w:val="left"/>
        <w:rPr>
          <w:sz w:val="16"/>
        </w:rPr>
        <w:sectPr>
          <w:pgSz w:w="12240" w:h="15840"/>
          <w:pgMar w:header="718" w:footer="954" w:top="1500" w:bottom="1140" w:left="1220" w:right="1220"/>
        </w:sectPr>
      </w:pPr>
    </w:p>
    <w:p>
      <w:pPr>
        <w:pStyle w:val="Heading9"/>
        <w:spacing w:before="113"/>
        <w:ind w:left="524" w:right="523"/>
        <w:jc w:val="center"/>
      </w:pPr>
      <w:r>
        <w:rPr/>
        <w:t>Gráfico 2.2 - Evolución de las importaciones petroleras, volumen y valor (en dólares corrientes)</w:t>
      </w:r>
    </w:p>
    <w:p>
      <w:pPr>
        <w:pStyle w:val="BodyText"/>
        <w:spacing w:before="1"/>
        <w:rPr>
          <w:b/>
          <w:sz w:val="24"/>
        </w:rPr>
      </w:pPr>
      <w:r>
        <w:rPr/>
        <w:pict>
          <v:group style="position:absolute;margin-left:132.352188pt;margin-top:16.500435pt;width:347.1pt;height:238.5pt;mso-position-horizontal-relative:page;mso-position-vertical-relative:paragraph;z-index:-15702016;mso-wrap-distance-left:0;mso-wrap-distance-right:0" coordorigin="2647,330" coordsize="6942,4770">
            <v:rect style="position:absolute;left:2652;top:334;width:6932;height:4760" filled="false" stroked="true" strokeweight=".495496pt" strokecolor="#000000">
              <v:stroke dashstyle="solid"/>
            </v:rect>
            <v:line style="position:absolute" from="3646,4055" to="4068,4055" stroked="true" strokeweight=".12pt" strokecolor="#000000">
              <v:stroke dashstyle="solid"/>
            </v:line>
            <v:line style="position:absolute" from="3646,3462" to="7106,3462" stroked="true" strokeweight=".12pt" strokecolor="#000000">
              <v:stroke dashstyle="solid"/>
            </v:line>
            <v:line style="position:absolute" from="3646,2869" to="7106,2869" stroked="true" strokeweight=".12pt" strokecolor="#000000">
              <v:stroke dashstyle="solid"/>
            </v:line>
            <v:line style="position:absolute" from="3646,2279" to="7106,2279" stroked="true" strokeweight=".12pt" strokecolor="#000000">
              <v:stroke dashstyle="solid"/>
            </v:line>
            <v:line style="position:absolute" from="3646,1686" to="7106,1686" stroked="true" strokeweight=".12pt" strokecolor="#000000">
              <v:stroke dashstyle="solid"/>
            </v:line>
            <v:line style="position:absolute" from="3646,1096" to="7106,1096" stroked="true" strokeweight=".12pt" strokecolor="#000000">
              <v:stroke dashstyle="solid"/>
            </v:line>
            <v:line style="position:absolute" from="3646,503" to="7106,503" stroked="true" strokeweight=".12pt" strokecolor="#000000">
              <v:stroke dashstyle="solid"/>
            </v:line>
            <v:line style="position:absolute" from="3893,503" to="3893,4645" stroked="true" strokeweight=".12pt" strokecolor="#000000">
              <v:stroke dashstyle="solid"/>
            </v:line>
            <v:shape style="position:absolute;left:4140;top:502;width:2;height:4143" coordorigin="4140,503" coordsize="0,4143" path="m4140,4206l4140,4645m4140,503l4140,4026e" filled="false" stroked="true" strokeweight=".12pt" strokecolor="#000000">
              <v:path arrowok="t"/>
              <v:stroke dashstyle="solid"/>
            </v:shape>
            <v:shape style="position:absolute;left:4387;top:502;width:2;height:4143" coordorigin="4387,503" coordsize="0,4143" path="m4387,4206l4387,4645m4387,503l4387,4026e" filled="false" stroked="true" strokeweight=".12pt" strokecolor="#000000">
              <v:path arrowok="t"/>
              <v:stroke dashstyle="solid"/>
            </v:shape>
            <v:shape style="position:absolute;left:4634;top:502;width:2;height:4143" coordorigin="4634,503" coordsize="0,4143" path="m4634,4201l4634,4645m4634,503l4634,4021e" filled="false" stroked="true" strokeweight=".12pt" strokecolor="#000000">
              <v:path arrowok="t"/>
              <v:stroke dashstyle="solid"/>
            </v:shape>
            <v:shape style="position:absolute;left:4881;top:502;width:2;height:4143" coordorigin="4882,503" coordsize="0,4143" path="m4882,4201l4882,4645m4882,503l4882,4021e" filled="false" stroked="true" strokeweight=".12pt" strokecolor="#000000">
              <v:path arrowok="t"/>
              <v:stroke dashstyle="solid"/>
            </v:shape>
            <v:shape style="position:absolute;left:5128;top:502;width:2;height:4143" coordorigin="5129,503" coordsize="0,4143" path="m5129,4206l5129,4645m5129,503l5129,4026e" filled="false" stroked="true" strokeweight=".12pt" strokecolor="#000000">
              <v:path arrowok="t"/>
              <v:stroke dashstyle="solid"/>
            </v:shape>
            <v:shape style="position:absolute;left:5376;top:502;width:2;height:4143" coordorigin="5376,503" coordsize="0,4143" path="m5376,4204l5376,4645m5376,503l5376,4024e" filled="false" stroked="true" strokeweight=".12pt" strokecolor="#000000">
              <v:path arrowok="t"/>
              <v:stroke dashstyle="solid"/>
            </v:shape>
            <v:shape style="position:absolute;left:5620;top:502;width:2;height:4143" coordorigin="5621,503" coordsize="0,4143" path="m5621,4209l5621,4645m5621,503l5621,4029e" filled="false" stroked="true" strokeweight=".12pt" strokecolor="#000000">
              <v:path arrowok="t"/>
              <v:stroke dashstyle="solid"/>
            </v:shape>
            <v:shape style="position:absolute;left:5870;top:502;width:2;height:4143" coordorigin="5870,503" coordsize="0,4143" path="m5870,4206l5870,4645m5870,503l5870,4026e" filled="false" stroked="true" strokeweight=".12pt" strokecolor="#000000">
              <v:path arrowok="t"/>
              <v:stroke dashstyle="solid"/>
            </v:shape>
            <v:shape style="position:absolute;left:6115;top:502;width:2;height:4143" coordorigin="6115,503" coordsize="0,4143" path="m6115,4211l6115,4645m6115,503l6115,4031e" filled="false" stroked="true" strokeweight=".12pt" strokecolor="#000000">
              <v:path arrowok="t"/>
              <v:stroke dashstyle="solid"/>
            </v:shape>
            <v:shape style="position:absolute;left:6364;top:502;width:2;height:4143" coordorigin="6365,503" coordsize="0,4143" path="m6365,4213l6365,4645m6365,503l6365,4033e" filled="false" stroked="true" strokeweight=".12pt" strokecolor="#000000">
              <v:path arrowok="t"/>
              <v:stroke dashstyle="solid"/>
            </v:shape>
            <v:shape style="position:absolute;left:6612;top:502;width:2;height:4143" coordorigin="6612,503" coordsize="0,4143" path="m6612,4213l6612,4645m6612,503l6612,4033e" filled="false" stroked="true" strokeweight=".12pt" strokecolor="#000000">
              <v:path arrowok="t"/>
              <v:stroke dashstyle="solid"/>
            </v:shape>
            <v:shape style="position:absolute;left:6859;top:502;width:2;height:4143" coordorigin="6859,503" coordsize="0,4143" path="m6859,4209l6859,4645m6859,503l6859,4024e" filled="false" stroked="true" strokeweight=".12pt" strokecolor="#000000">
              <v:path arrowok="t"/>
              <v:stroke dashstyle="solid"/>
            </v:shape>
            <v:shape style="position:absolute;left:7106;top:502;width:2;height:4143" coordorigin="7106,503" coordsize="0,4143" path="m7106,4201l7106,4645m7106,503l7106,4021e" filled="false" stroked="true" strokeweight=".12pt" strokecolor="#000000">
              <v:path arrowok="t"/>
              <v:stroke dashstyle="solid"/>
            </v:shape>
            <v:line style="position:absolute" from="3646,503" to="7106,503" stroked="true" strokeweight=".49488pt" strokecolor="#000000">
              <v:stroke dashstyle="solid"/>
            </v:line>
            <v:shape style="position:absolute;left:7106;top:502;width:2;height:4143" coordorigin="7106,503" coordsize="0,4143" path="m7106,4201l7106,4645m7106,503l7106,4021e" filled="false" stroked="true" strokeweight=".496802pt" strokecolor="#000000">
              <v:path arrowok="t"/>
              <v:stroke dashstyle="solid"/>
            </v:shape>
            <v:shape style="position:absolute;left:3645;top:502;width:3461;height:4143" coordorigin="3646,503" coordsize="3461,4143" path="m7106,4645l3646,4645m3646,4645l3646,503e" filled="false" stroked="true" strokeweight=".495841pt" strokecolor="#000000">
              <v:path arrowok="t"/>
              <v:stroke dashstyle="solid"/>
            </v:shape>
            <v:rect style="position:absolute;left:3698;top:4609;width:72;height:36" filled="true" fillcolor="#993265" stroked="false">
              <v:fill type="solid"/>
            </v:rect>
            <v:rect style="position:absolute;left:3698;top:4609;width:72;height:36" filled="false" stroked="true" strokeweight=".495264pt" strokecolor="#000000">
              <v:stroke dashstyle="solid"/>
            </v:rect>
            <v:rect style="position:absolute;left:3945;top:4606;width:72;height:39" filled="true" fillcolor="#993265" stroked="false">
              <v:fill type="solid"/>
            </v:rect>
            <v:rect style="position:absolute;left:3945;top:4606;width:73;height:39" filled="false" stroked="true" strokeweight=".495305pt" strokecolor="#000000">
              <v:stroke dashstyle="solid"/>
            </v:rect>
            <v:rect style="position:absolute;left:4192;top:4604;width:72;height:41" filled="true" fillcolor="#993265" stroked="false">
              <v:fill type="solid"/>
            </v:rect>
            <v:rect style="position:absolute;left:4192;top:4604;width:73;height:41" filled="false" stroked="true" strokeweight=".495347pt" strokecolor="#000000">
              <v:stroke dashstyle="solid"/>
            </v:rect>
            <v:rect style="position:absolute;left:4440;top:4599;width:72;height:46" filled="true" fillcolor="#993265" stroked="false">
              <v:fill type="solid"/>
            </v:rect>
            <v:rect style="position:absolute;left:4440;top:4599;width:72;height:46" filled="false" stroked="true" strokeweight=".49543pt" strokecolor="#000000">
              <v:stroke dashstyle="solid"/>
            </v:rect>
            <v:rect style="position:absolute;left:4687;top:4594;width:72;height:51" filled="true" fillcolor="#993265" stroked="false">
              <v:fill type="solid"/>
            </v:rect>
            <v:rect style="position:absolute;left:4687;top:4594;width:72;height:51" filled="false" stroked="true" strokeweight=".495512pt" strokecolor="#000000">
              <v:stroke dashstyle="solid"/>
            </v:rect>
            <v:rect style="position:absolute;left:4934;top:4592;width:72;height:53" filled="true" fillcolor="#993265" stroked="false">
              <v:fill type="solid"/>
            </v:rect>
            <v:rect style="position:absolute;left:4934;top:4592;width:72;height:53" filled="false" stroked="true" strokeweight=".495552pt" strokecolor="#000000">
              <v:stroke dashstyle="solid"/>
            </v:rect>
            <v:rect style="position:absolute;left:5181;top:4585;width:72;height:60" filled="true" fillcolor="#993265" stroked="false">
              <v:fill type="solid"/>
            </v:rect>
            <v:rect style="position:absolute;left:5181;top:4585;width:72;height:60" filled="false" stroked="true" strokeweight=".495667pt" strokecolor="#000000">
              <v:stroke dashstyle="solid"/>
            </v:rect>
            <v:rect style="position:absolute;left:5428;top:4587;width:72;height:58" filled="true" fillcolor="#993265" stroked="false">
              <v:fill type="solid"/>
            </v:rect>
            <v:rect style="position:absolute;left:5428;top:4587;width:72;height:58" filled="false" stroked="true" strokeweight=".49563pt" strokecolor="#000000">
              <v:stroke dashstyle="solid"/>
            </v:rect>
            <v:rect style="position:absolute;left:5673;top:4585;width:72;height:60" filled="true" fillcolor="#993265" stroked="false">
              <v:fill type="solid"/>
            </v:rect>
            <v:rect style="position:absolute;left:5673;top:4585;width:72;height:60" filled="false" stroked="true" strokeweight=".495667pt" strokecolor="#000000">
              <v:stroke dashstyle="solid"/>
            </v:rect>
            <v:rect style="position:absolute;left:5923;top:4592;width:72;height:53" filled="true" fillcolor="#993265" stroked="false">
              <v:fill type="solid"/>
            </v:rect>
            <v:rect style="position:absolute;left:5923;top:4592;width:72;height:53" filled="false" stroked="true" strokeweight=".495552pt" strokecolor="#000000">
              <v:stroke dashstyle="solid"/>
            </v:rect>
            <v:rect style="position:absolute;left:6168;top:4597;width:72;height:48" filled="true" fillcolor="#993265" stroked="false">
              <v:fill type="solid"/>
            </v:rect>
            <v:rect style="position:absolute;left:6168;top:4597;width:73;height:48" filled="false" stroked="true" strokeweight=".495471pt" strokecolor="#000000">
              <v:stroke dashstyle="solid"/>
            </v:rect>
            <v:rect style="position:absolute;left:6417;top:4592;width:72;height:53" filled="true" fillcolor="#993265" stroked="false">
              <v:fill type="solid"/>
            </v:rect>
            <v:rect style="position:absolute;left:6417;top:4592;width:72;height:53" filled="false" stroked="true" strokeweight=".495552pt" strokecolor="#000000">
              <v:stroke dashstyle="solid"/>
            </v:rect>
            <v:rect style="position:absolute;left:6662;top:4592;width:72;height:53" filled="true" fillcolor="#993265" stroked="false">
              <v:fill type="solid"/>
            </v:rect>
            <v:rect style="position:absolute;left:6662;top:4592;width:72;height:53" filled="false" stroked="true" strokeweight=".495552pt" strokecolor="#000000">
              <v:stroke dashstyle="solid"/>
            </v:rect>
            <v:rect style="position:absolute;left:6912;top:4582;width:72;height:63" filled="true" fillcolor="#993265" stroked="false">
              <v:fill type="solid"/>
            </v:rect>
            <v:rect style="position:absolute;left:6912;top:4582;width:73;height:63" filled="false" stroked="true" strokeweight=".495704pt" strokecolor="#000000">
              <v:stroke dashstyle="solid"/>
            </v:rect>
            <v:rect style="position:absolute;left:3770;top:4028;width:70;height:617" filled="true" fillcolor="#9999ff" stroked="false">
              <v:fill type="solid"/>
            </v:rect>
            <v:rect style="position:absolute;left:3770;top:4028;width:70;height:617" filled="false" stroked="true" strokeweight=".496778pt" strokecolor="#000000">
              <v:stroke dashstyle="solid"/>
            </v:rect>
            <v:rect style="position:absolute;left:4017;top:3930;width:72;height:716" filled="true" fillcolor="#9999ff" stroked="false">
              <v:fill type="solid"/>
            </v:rect>
            <v:rect style="position:absolute;left:4017;top:3930;width:72;height:716" filled="false" stroked="true" strokeweight=".496783pt" strokecolor="#000000">
              <v:stroke dashstyle="solid"/>
            </v:rect>
            <v:shape style="position:absolute;left:4264;top:3738;width:70;height:908" coordorigin="4265,3738" coordsize="70,908" path="m4334,4206l4265,4206,4265,4645,4334,4645,4334,4206xm4334,3738l4265,3738,4265,4026,4334,4026,4334,3738xe" filled="true" fillcolor="#9999ff" stroked="false">
              <v:path arrowok="t"/>
              <v:fill type="solid"/>
            </v:shape>
            <v:rect style="position:absolute;left:4264;top:3738;width:70;height:908" filled="false" stroked="true" strokeweight=".496791pt" strokecolor="#000000">
              <v:stroke dashstyle="solid"/>
            </v:rect>
            <v:shape style="position:absolute;left:4511;top:3682;width:72;height:963" coordorigin="4512,3683" coordsize="72,963" path="m4584,4206l4512,4206,4512,4645,4584,4645,4584,4206xm4584,3683l4512,3683,4512,4021,4512,4026,4584,4026,4584,4021,4584,3683xe" filled="true" fillcolor="#9999ff" stroked="false">
              <v:path arrowok="t"/>
              <v:fill type="solid"/>
            </v:shape>
            <v:rect style="position:absolute;left:4512;top:3682;width:72;height:963" filled="false" stroked="true" strokeweight=".496791pt" strokecolor="#000000">
              <v:stroke dashstyle="solid"/>
            </v:rect>
            <v:shape style="position:absolute;left:4759;top:3877;width:70;height:768" coordorigin="4759,3877" coordsize="70,768" path="m4829,4201l4759,4201,4759,4645,4829,4645,4829,4201xm4829,3877l4759,3877,4759,4021,4829,4021,4829,3877xe" filled="true" fillcolor="#9999ff" stroked="false">
              <v:path arrowok="t"/>
              <v:fill type="solid"/>
            </v:shape>
            <v:rect style="position:absolute;left:4759;top:3877;width:70;height:768" filled="false" stroked="true" strokeweight=".496786pt" strokecolor="#000000">
              <v:stroke dashstyle="solid"/>
            </v:rect>
            <v:shape style="position:absolute;left:5006;top:3615;width:72;height:1030" coordorigin="5006,3616" coordsize="72,1030" path="m5078,4204l5006,4204,5006,4645,5078,4645,5078,4204xm5078,3616l5006,3616,5006,4024,5078,4024,5078,3616xe" filled="true" fillcolor="#9999ff" stroked="false">
              <v:path arrowok="t"/>
              <v:fill type="solid"/>
            </v:shape>
            <v:rect style="position:absolute;left:5006;top:3615;width:72;height:1030" filled="false" stroked="true" strokeweight=".496793pt" strokecolor="#000000">
              <v:stroke dashstyle="solid"/>
            </v:rect>
            <v:shape style="position:absolute;left:5253;top:2864;width:70;height:1781" coordorigin="5254,2865" coordsize="70,1781" path="m5323,4206l5254,4206,5254,4645,5323,4645,5323,4206xm5323,2865l5254,2865,5254,4026,5323,4026,5323,2865xe" filled="true" fillcolor="#9999ff" stroked="false">
              <v:path arrowok="t"/>
              <v:fill type="solid"/>
            </v:shape>
            <v:rect style="position:absolute;left:5253;top:2864;width:70;height:1781" filled="false" stroked="true" strokeweight=".496799pt" strokecolor="#000000">
              <v:stroke dashstyle="solid"/>
            </v:rect>
            <v:shape style="position:absolute;left:5500;top:3162;width:70;height:1484" coordorigin="5501,3162" coordsize="70,1484" path="m5570,4204l5501,4204,5501,4209,5501,4645,5570,4645,5570,4209,5570,4204xm5570,3162l5501,3162,5501,4024,5570,4024,5570,3162xe" filled="true" fillcolor="#9999ff" stroked="false">
              <v:path arrowok="t"/>
              <v:fill type="solid"/>
            </v:shape>
            <v:rect style="position:absolute;left:5500;top:3162;width:70;height:1484" filled="false" stroked="true" strokeweight=".496798pt" strokecolor="#000000">
              <v:stroke dashstyle="solid"/>
            </v:rect>
            <v:shape style="position:absolute;left:5745;top:3111;width:72;height:1534" coordorigin="5746,3112" coordsize="72,1534" path="m5818,4209l5746,4209,5746,4645,5818,4645,5818,4209xm5818,3112l5746,3112,5746,4029,5818,4029,5818,3112xe" filled="true" fillcolor="#9999ff" stroked="false">
              <v:path arrowok="t"/>
              <v:fill type="solid"/>
            </v:shape>
            <v:rect style="position:absolute;left:5745;top:3111;width:73;height:1534" filled="false" stroked="true" strokeweight=".496798pt" strokecolor="#000000">
              <v:stroke dashstyle="solid"/>
            </v:rect>
            <v:shape style="position:absolute;left:5995;top:2970;width:70;height:1676" coordorigin="5995,2970" coordsize="70,1676" path="m6065,4206l5995,4206,5995,4211,5995,4645,6065,4645,6065,4211,6065,4206xm6065,2970l5995,2970,5995,4026,6065,4026,6065,2970xe" filled="true" fillcolor="#9999ff" stroked="false">
              <v:path arrowok="t"/>
              <v:fill type="solid"/>
            </v:shape>
            <v:rect style="position:absolute;left:5995;top:2970;width:70;height:1676" filled="false" stroked="true" strokeweight=".496799pt" strokecolor="#000000">
              <v:stroke dashstyle="solid"/>
            </v:rect>
            <v:shape style="position:absolute;left:6239;top:2672;width:72;height:1973" coordorigin="6240,2673" coordsize="72,1973" path="m6312,4211l6240,4211,6240,4645,6312,4645,6312,4211xm6312,2673l6240,2673,6240,4031,6312,4031,6312,2673xe" filled="true" fillcolor="#9999ff" stroked="false">
              <v:path arrowok="t"/>
              <v:fill type="solid"/>
            </v:shape>
            <v:rect style="position:absolute;left:6240;top:2672;width:72;height:1973" filled="false" stroked="true" strokeweight=".496799pt" strokecolor="#000000">
              <v:stroke dashstyle="solid"/>
            </v:rect>
            <v:shape style="position:absolute;left:6489;top:1743;width:70;height:2902" coordorigin="6490,1744" coordsize="70,2902" path="m6559,4213l6490,4213,6490,4645,6559,4645,6559,4213xm6559,1744l6490,1744,6490,4033,6559,4033,6559,1744xe" filled="true" fillcolor="#9999ff" stroked="false">
              <v:path arrowok="t"/>
              <v:fill type="solid"/>
            </v:shape>
            <v:rect style="position:absolute;left:6489;top:1743;width:70;height:2902" filled="false" stroked="true" strokeweight=".496801pt" strokecolor="#000000">
              <v:stroke dashstyle="solid"/>
            </v:rect>
            <v:shape style="position:absolute;left:6734;top:1345;width:72;height:3300" coordorigin="6734,1345" coordsize="72,3300" path="m6806,4204l6734,4204,6734,4209,6734,4645,6806,4645,6806,4209,6806,4204xm6806,1345l6734,1345,6734,4024,6806,4024,6806,1345xe" filled="true" fillcolor="#9999ff" stroked="false">
              <v:path arrowok="t"/>
              <v:fill type="solid"/>
            </v:shape>
            <v:rect style="position:absolute;left:6734;top:1345;width:72;height:3300" filled="false" stroked="true" strokeweight=".496801pt" strokecolor="#000000">
              <v:stroke dashstyle="solid"/>
            </v:rect>
            <v:shape style="position:absolute;left:6983;top:774;width:70;height:3872" coordorigin="6984,774" coordsize="70,3872" path="m7054,4209l6984,4209,6984,4645,7054,4645,7054,4209xm7054,774l6984,774,6984,4029,7054,4029,7054,774xe" filled="true" fillcolor="#9999ff" stroked="false">
              <v:path arrowok="t"/>
              <v:fill type="solid"/>
            </v:shape>
            <v:rect style="position:absolute;left:6984;top:774;width:70;height:3872" filled="false" stroked="true" strokeweight=".496801pt" strokecolor="#000000">
              <v:stroke dashstyle="solid"/>
            </v:rect>
            <v:shape style="position:absolute;left:3614;top:502;width:3492;height:4176" coordorigin="3614,503" coordsize="3492,4176" path="m3646,503l3646,4645m3614,4645l3679,4645m3614,4055l3679,4055m3614,3462l3679,3462m3614,2869l3679,2869m3614,2279l3679,2279m3614,1686l3679,1686m3614,1096l3679,1096m3614,503l3679,503m3646,4645l7106,4645m3646,4679l3646,4614m3893,4679l3893,4614m4140,4679l4140,4614m4387,4679l4387,4614m4634,4679l4634,4614m4882,4679l4882,4614m5129,4679l5129,4614m5376,4679l5376,4614m5621,4679l5621,4614m5870,4679l5870,4614m6115,4679l6115,4614m6365,4679l6365,4614m6612,4679l6612,4614m6859,4679l6859,4614m7106,4679l7106,4614e" filled="false" stroked="true" strokeweight=".12pt" strokecolor="#000000">
              <v:path arrowok="t"/>
              <v:stroke dashstyle="solid"/>
            </v:shape>
            <v:shape style="position:absolute;left:7106;top:502;width:2;height:4143" coordorigin="7106,503" coordsize="0,4143" path="m7106,4201l7106,4645m7106,503l7106,4021e" filled="false" stroked="true" strokeweight=".12pt" strokecolor="#000000">
              <v:path arrowok="t"/>
              <v:stroke dashstyle="solid"/>
            </v:shape>
            <v:shape style="position:absolute;left:7072;top:502;width:65;height:4143" coordorigin="7073,503" coordsize="65,4143" path="m7073,4645l7138,4645m7073,3611l7138,3611m7073,3093l7138,3093m7073,2577l7138,2577m7073,2056l7138,2056m7073,1537l7138,1537m7073,1021l7138,1021m7073,503l7138,503e" filled="false" stroked="true" strokeweight=".12pt" strokecolor="#000000">
              <v:path arrowok="t"/>
              <v:stroke dashstyle="solid"/>
            </v:shape>
            <v:shape style="position:absolute;left:3770;top:2542;width:1731;height:828" coordorigin="3770,2543" coordsize="1731,828" path="m3770,3287l4018,3201m4018,3201l4265,3004m4265,3004l4512,3083m4512,3083l4757,3371m4757,3371l5006,3136m5006,3136l5251,2543m5251,2543l5501,2797e" filled="false" stroked="true" strokeweight="1.487523pt" strokecolor="#ff0000">
              <v:path arrowok="t"/>
              <v:stroke dashstyle="solid"/>
            </v:shape>
            <v:line style="position:absolute" from="5486,2791" to="5760,2791" stroked="true" strokeweight="2.084690pt" strokecolor="#ff0000">
              <v:stroke dashstyle="solid"/>
            </v:line>
            <v:shape style="position:absolute;left:5745;top:918;width:1237;height:1868" coordorigin="5746,918" coordsize="1237,1868" path="m5746,2785l5995,2567m5995,2567l6240,2077m6240,2077l6487,1403m6487,1403l6734,1038m6734,1038l6982,918e" filled="false" stroked="true" strokeweight="1.487523pt" strokecolor="#ff0000">
              <v:path arrowok="t"/>
              <v:stroke dashstyle="solid"/>
            </v:shape>
            <v:line style="position:absolute" from="4018,4127" to="4068,4127" stroked="true" strokeweight=".49488pt" strokecolor="#00ffff">
              <v:stroke dashstyle="solid"/>
            </v:line>
            <v:shape style="position:absolute;left:3734;top:3248;width:72;height:72" coordorigin="3734,3249" coordsize="72,72" path="m3770,3249l3756,3251,3744,3259,3737,3271,3734,3285,3737,3299,3744,3311,3756,3318,3770,3321,3784,3318,3796,3311,3803,3299,3806,3285,3803,3271,3796,3259,3784,3251,3770,3249xe" filled="true" fillcolor="#ff0000" stroked="false">
              <v:path arrowok="t"/>
              <v:fill type="solid"/>
            </v:shape>
            <v:shape style="position:absolute;left:3734;top:3248;width:73;height:72" coordorigin="3734,3249" coordsize="73,72" path="m3806,3285l3803,3271,3796,3259,3784,3251,3770,3249,3756,3251,3744,3259,3737,3271,3734,3285,3737,3299,3744,3311,3756,3318,3770,3321,3784,3318,3796,3311,3803,3299,3806,3285xe" filled="false" stroked="true" strokeweight=".49584pt" strokecolor="#ff0000">
              <v:path arrowok="t"/>
              <v:stroke dashstyle="solid"/>
            </v:shape>
            <v:shape style="position:absolute;left:3979;top:3162;width:72;height:72" coordorigin="3979,3162" coordsize="72,72" path="m4015,3162l4001,3165,3990,3173,3982,3184,3979,3198,3982,3212,3990,3223,4001,3231,4015,3234,4029,3231,4040,3223,4048,3212,4051,3198,4048,3184,4040,3173,4029,3165,4015,3162xe" filled="true" fillcolor="#ff0000" stroked="false">
              <v:path arrowok="t"/>
              <v:fill type="solid"/>
            </v:shape>
            <v:shape style="position:absolute;left:3979;top:3162;width:72;height:72" coordorigin="3979,3162" coordsize="72,72" path="m4051,3198l4048,3184,4040,3173,4029,3165,4015,3162,4001,3165,3990,3173,3982,3184,3979,3198,3982,3212,3990,3223,4001,3231,4015,3234,4029,3231,4040,3223,4048,3212,4051,3198xe" filled="false" stroked="true" strokeweight=".495841pt" strokecolor="#ff0000">
              <v:path arrowok="t"/>
              <v:stroke dashstyle="solid"/>
            </v:shape>
            <v:shape style="position:absolute;left:4228;top:2967;width:72;height:72" coordorigin="4229,2968" coordsize="72,72" path="m4265,2968l4250,2970,4239,2978,4231,2989,4229,3004,4231,3017,4239,3029,4250,3037,4265,3040,4279,3037,4290,3029,4298,3017,4301,3004,4298,2989,4290,2978,4279,2970,4265,2968xe" filled="true" fillcolor="#ff0000" stroked="false">
              <v:path arrowok="t"/>
              <v:fill type="solid"/>
            </v:shape>
            <v:shape style="position:absolute;left:4228;top:2967;width:72;height:72" coordorigin="4229,2968" coordsize="72,72" path="m4301,3004l4298,2989,4290,2978,4279,2970,4265,2968,4250,2970,4239,2978,4231,2989,4229,3004,4231,3017,4239,3029,4250,3037,4265,3040,4279,3037,4290,3029,4298,3017,4301,3004xe" filled="false" stroked="true" strokeweight=".495841pt" strokecolor="#ff0000">
              <v:path arrowok="t"/>
              <v:stroke dashstyle="solid"/>
            </v:shape>
            <v:shape style="position:absolute;left:4473;top:3046;width:72;height:72" coordorigin="4474,3047" coordsize="72,72" path="m4510,3047l4496,3050,4484,3057,4477,3068,4474,3083,4477,3097,4484,3108,4496,3116,4510,3119,4523,3116,4535,3108,4543,3097,4546,3083,4543,3068,4535,3057,4523,3050,4510,3047xe" filled="true" fillcolor="#ff0000" stroked="false">
              <v:path arrowok="t"/>
              <v:fill type="solid"/>
            </v:shape>
            <v:shape style="position:absolute;left:4473;top:3046;width:72;height:72" coordorigin="4474,3047" coordsize="72,72" path="m4546,3083l4543,3068,4535,3057,4523,3050,4510,3047,4496,3050,4484,3057,4477,3068,4474,3083,4477,3097,4484,3108,4496,3116,4510,3119,4523,3116,4535,3108,4543,3097,4546,3083xe" filled="false" stroked="true" strokeweight=".495841pt" strokecolor="#ff0000">
              <v:path arrowok="t"/>
              <v:stroke dashstyle="solid"/>
            </v:shape>
            <v:shape style="position:absolute;left:4720;top:3332;width:72;height:72" coordorigin="4721,3333" coordsize="72,72" path="m4757,3333l4742,3335,4731,3343,4723,3355,4721,3369,4723,3383,4731,3395,4742,3402,4757,3405,4771,3402,4782,3395,4790,3383,4793,3369,4790,3355,4782,3343,4771,3335,4757,3333xe" filled="true" fillcolor="#ff0000" stroked="false">
              <v:path arrowok="t"/>
              <v:fill type="solid"/>
            </v:shape>
            <v:shape style="position:absolute;left:4720;top:3332;width:72;height:72" coordorigin="4721,3333" coordsize="72,72" path="m4793,3369l4790,3355,4782,3343,4771,3335,4757,3333,4742,3335,4731,3343,4723,3355,4721,3369,4723,3383,4731,3395,4742,3402,4757,3405,4771,3402,4782,3395,4790,3383,4793,3369xe" filled="false" stroked="true" strokeweight=".495841pt" strokecolor="#ff0000">
              <v:path arrowok="t"/>
              <v:stroke dashstyle="solid"/>
            </v:shape>
            <v:shape style="position:absolute;left:4968;top:3097;width:72;height:72" coordorigin="4968,3097" coordsize="72,72" path="m5004,3097l4990,3100,4979,3108,4971,3120,4968,3133,4971,3148,4979,3159,4990,3167,5004,3169,5018,3167,5029,3159,5037,3148,5040,3133,5037,3120,5029,3108,5018,3100,5004,3097xe" filled="true" fillcolor="#ff0000" stroked="false">
              <v:path arrowok="t"/>
              <v:fill type="solid"/>
            </v:shape>
            <v:shape style="position:absolute;left:4968;top:3097;width:72;height:72" coordorigin="4968,3097" coordsize="72,72" path="m5040,3133l5037,3120,5029,3108,5018,3100,5004,3097,4990,3100,4979,3108,4971,3120,4968,3133,4971,3148,4979,3159,4990,3167,5004,3169,5018,3167,5029,3159,5037,3148,5040,3133xe" filled="false" stroked="true" strokeweight=".495841pt" strokecolor="#ff0000">
              <v:path arrowok="t"/>
              <v:stroke dashstyle="solid"/>
            </v:shape>
            <v:shape style="position:absolute;left:5215;top:2506;width:72;height:72" coordorigin="5215,2507" coordsize="72,72" path="m5251,2507l5236,2510,5225,2518,5218,2529,5215,2543,5218,2557,5225,2568,5236,2576,5251,2579,5265,2576,5276,2568,5284,2557,5287,2543,5284,2529,5276,2518,5265,2510,5251,2507xe" filled="true" fillcolor="#ff0000" stroked="false">
              <v:path arrowok="t"/>
              <v:fill type="solid"/>
            </v:shape>
            <v:shape style="position:absolute;left:5215;top:2506;width:72;height:72" coordorigin="5215,2507" coordsize="72,72" path="m5287,2543l5284,2529,5276,2518,5265,2510,5251,2507,5236,2510,5225,2518,5218,2529,5215,2543,5218,2557,5225,2568,5236,2576,5251,2579,5265,2576,5276,2568,5284,2557,5287,2543xe" filled="false" stroked="true" strokeweight=".495841pt" strokecolor="#ff0000">
              <v:path arrowok="t"/>
              <v:stroke dashstyle="solid"/>
            </v:shape>
            <v:shape style="position:absolute;left:5462;top:2758;width:72;height:72" coordorigin="5462,2759" coordsize="72,72" path="m5498,2759l5485,2762,5473,2770,5465,2781,5462,2795,5465,2809,5473,2820,5485,2828,5498,2831,5512,2828,5524,2820,5531,2809,5534,2795,5531,2781,5524,2770,5512,2762,5498,2759xe" filled="true" fillcolor="#ff0000" stroked="false">
              <v:path arrowok="t"/>
              <v:fill type="solid"/>
            </v:shape>
            <v:shape style="position:absolute;left:5462;top:2758;width:72;height:72" coordorigin="5462,2759" coordsize="72,72" path="m5534,2795l5531,2781,5524,2770,5512,2762,5498,2759,5485,2762,5473,2770,5465,2781,5462,2795,5465,2809,5473,2820,5485,2828,5498,2831,5512,2828,5524,2820,5531,2809,5534,2795xe" filled="false" stroked="true" strokeweight=".495841pt" strokecolor="#ff0000">
              <v:path arrowok="t"/>
              <v:stroke dashstyle="solid"/>
            </v:shape>
            <v:shape style="position:absolute;left:5709;top:2749;width:72;height:72" coordorigin="5710,2749" coordsize="72,72" path="m5746,2749l5731,2752,5719,2760,5712,2772,5710,2785,5712,2799,5719,2811,5731,2818,5746,2821,5759,2818,5771,2811,5779,2799,5782,2785,5779,2772,5771,2760,5759,2752,5746,2749xe" filled="true" fillcolor="#ff0000" stroked="false">
              <v:path arrowok="t"/>
              <v:fill type="solid"/>
            </v:shape>
            <v:shape style="position:absolute;left:5709;top:2749;width:73;height:72" coordorigin="5710,2749" coordsize="73,72" path="m5782,2785l5779,2772,5771,2760,5759,2752,5746,2749,5731,2752,5720,2760,5712,2772,5710,2785,5712,2799,5720,2811,5731,2818,5746,2821,5759,2818,5771,2811,5779,2799,5782,2785xe" filled="false" stroked="true" strokeweight=".495841pt" strokecolor="#ff0000">
              <v:path arrowok="t"/>
              <v:stroke dashstyle="solid"/>
            </v:shape>
            <v:shape style="position:absolute;left:5956;top:2528;width:72;height:72" coordorigin="5957,2529" coordsize="72,72" path="m5993,2529l5979,2531,5968,2539,5960,2551,5957,2565,5960,2578,5968,2590,5979,2598,5993,2601,6008,2598,6019,2590,6026,2578,6029,2565,6026,2551,6019,2539,6008,2531,5993,2529xe" filled="true" fillcolor="#ff0000" stroked="false">
              <v:path arrowok="t"/>
              <v:fill type="solid"/>
            </v:shape>
            <v:shape style="position:absolute;left:5956;top:2528;width:73;height:72" coordorigin="5957,2529" coordsize="73,72" path="m6029,2565l6026,2551,6019,2539,6008,2531,5993,2529,5979,2531,5968,2539,5960,2551,5957,2565,5960,2578,5968,2590,5979,2598,5993,2601,6008,2598,6019,2590,6026,2578,6029,2565xe" filled="false" stroked="true" strokeweight=".495841pt" strokecolor="#ff0000">
              <v:path arrowok="t"/>
              <v:stroke dashstyle="solid"/>
            </v:shape>
            <v:shape style="position:absolute;left:6204;top:2041;width:72;height:72" coordorigin="6204,2041" coordsize="72,72" path="m6240,2041l6225,2044,6214,2052,6207,2064,6204,2077,6207,2091,6214,2103,6225,2110,6240,2113,6254,2110,6265,2103,6273,2091,6276,2077,6273,2064,6265,2052,6254,2044,6240,2041xe" filled="true" fillcolor="#ff0000" stroked="false">
              <v:path arrowok="t"/>
              <v:fill type="solid"/>
            </v:shape>
            <v:shape style="position:absolute;left:6204;top:2041;width:73;height:72" coordorigin="6204,2041" coordsize="73,72" path="m6276,2077l6273,2064,6265,2052,6254,2044,6240,2041,6225,2044,6214,2052,6207,2064,6204,2077,6207,2091,6214,2103,6225,2110,6240,2113,6254,2110,6265,2103,6273,2091,6276,2077xe" filled="false" stroked="true" strokeweight=".495841pt" strokecolor="#ff0000">
              <v:path arrowok="t"/>
              <v:stroke dashstyle="solid"/>
            </v:shape>
            <v:shape style="position:absolute;left:6448;top:1364;width:72;height:72" coordorigin="6449,1365" coordsize="72,72" path="m6485,1365l6471,1367,6460,1375,6452,1387,6449,1401,6452,1414,6460,1426,6471,1434,6485,1437,6500,1434,6511,1426,6518,1414,6521,1401,6518,1387,6511,1375,6500,1367,6485,1365xe" filled="true" fillcolor="#ff0000" stroked="false">
              <v:path arrowok="t"/>
              <v:fill type="solid"/>
            </v:shape>
            <v:shape style="position:absolute;left:6448;top:1364;width:72;height:72" coordorigin="6449,1365" coordsize="72,72" path="m6521,1401l6518,1387,6511,1375,6500,1367,6485,1365,6471,1367,6460,1375,6452,1387,6449,1401,6452,1414,6460,1426,6471,1434,6485,1437,6500,1434,6511,1426,6518,1414,6521,1401xe" filled="false" stroked="true" strokeweight=".495841pt" strokecolor="#ff0000">
              <v:path arrowok="t"/>
              <v:stroke dashstyle="solid"/>
            </v:shape>
            <v:shape style="position:absolute;left:6698;top:1002;width:72;height:72" coordorigin="6698,1002" coordsize="72,72" path="m6734,1002l6720,1005,6708,1012,6701,1023,6698,1038,6701,1052,6708,1063,6720,1071,6734,1074,6748,1071,6760,1063,6767,1052,6770,1038,6767,1023,6760,1012,6748,1005,6734,1002xe" filled="true" fillcolor="#ff0000" stroked="false">
              <v:path arrowok="t"/>
              <v:fill type="solid"/>
            </v:shape>
            <v:shape style="position:absolute;left:6698;top:1002;width:72;height:72" coordorigin="6698,1002" coordsize="72,72" path="m6770,1038l6768,1023,6760,1012,6748,1005,6734,1002,6720,1005,6708,1012,6701,1023,6698,1038,6701,1052,6708,1063,6720,1071,6734,1074,6748,1071,6760,1063,6768,1052,6770,1038xe" filled="false" stroked="true" strokeweight=".495841pt" strokecolor="#ff0000">
              <v:path arrowok="t"/>
              <v:stroke dashstyle="solid"/>
            </v:shape>
            <v:shape style="position:absolute;left:6943;top:879;width:72;height:72" coordorigin="6943,880" coordsize="72,72" path="m6979,880l6965,883,6954,891,6946,902,6943,916,6946,929,6954,941,6965,949,6979,952,6994,949,7005,941,7013,929,7015,916,7013,902,7005,891,6994,883,6979,880xe" filled="true" fillcolor="#ff0000" stroked="false">
              <v:path arrowok="t"/>
              <v:fill type="solid"/>
            </v:shape>
            <v:shape style="position:absolute;left:6943;top:879;width:72;height:72" coordorigin="6943,880" coordsize="72,72" path="m7015,916l7013,902,7005,891,6994,883,6979,880,6966,883,6954,891,6946,902,6943,916,6946,929,6954,941,6966,949,6979,952,6994,949,7005,941,7013,929,7015,916xe" filled="false" stroked="true" strokeweight=".495841pt" strokecolor="#ff0000">
              <v:path arrowok="t"/>
              <v:stroke dashstyle="solid"/>
            </v:shape>
            <v:shape style="position:absolute;left:3991;top:4095;width:3015;height:63" coordorigin="3991,4096" coordsize="3015,63" path="m4018,4127l3991,4101m4018,4127l4042,4151m4018,4127l3991,4151m4018,4127l4042,4101m4265,4127l4241,4101m4265,4127l4289,4151m4265,4127l4241,4151m4265,4127l4289,4101m4512,4120l4486,4096m4512,4120l4536,4146m4512,4120l4486,4146m4512,4120l4536,4096m4757,4125l4733,4098m4757,4125l4781,4149m4757,4125l4733,4149m4757,4125l4781,4098m5006,4127l4980,4101m5006,4127l5030,4151m5006,4127l4980,4151m5006,4127l5030,4101m5251,4125l5227,4098m5251,4125l5278,4149m5251,4125l5227,4149m5251,4125l5278,4098m5501,4129l5474,4103m5501,4129l5525,4153m5501,4129l5474,4153m5501,4129l5525,4103m5746,4127l5722,4101m5746,4127l5772,4151m5746,4127l5722,4151m5746,4127l5772,4101m5995,4132l5969,4105m5995,4132l6019,4156m5995,4132l5969,4156m5995,4132l6019,4105m6240,4134l6216,4108m6240,4134l6266,4158m6240,4134l6216,4158m6240,4134l6266,4108m6487,4125l6461,4098m6487,4125l6511,4149m6487,4125l6461,4149m6487,4125l6511,4098m6734,4129l6710,4103m6734,4129l6761,4153m6734,4129l6710,4153m6734,4129l6761,4103m6982,4120l6955,4096m6982,4120l7006,4146m6982,4120l6955,4146m6982,4120l7006,4096e" filled="false" stroked="true" strokeweight=".495841pt" strokecolor="#00ffff">
              <v:path arrowok="t"/>
              <v:stroke dashstyle="solid"/>
            </v:shape>
            <v:shape style="position:absolute;left:4089;top:4206;width:269;height:22" coordorigin="4090,4206" coordsize="269,22" path="m4358,4206l4090,4206,4090,4228,4337,4228,4358,4228,4358,4206xe" filled="true" fillcolor="#000000" stroked="false">
              <v:path arrowok="t"/>
              <v:fill type="solid"/>
            </v:shape>
            <v:rect style="position:absolute;left:4068;top:4026;width:269;height:180" filled="true" fillcolor="#ffffff" stroked="false">
              <v:fill type="solid"/>
            </v:rect>
            <v:rect style="position:absolute;left:4068;top:4026;width:269;height:180" filled="false" stroked="true" strokeweight=".12pt" strokecolor="#000000">
              <v:stroke dashstyle="solid"/>
            </v:rect>
            <v:shape style="position:absolute;left:4336;top:4201;width:272;height:27" coordorigin="4337,4201" coordsize="272,27" path="m4608,4206l4608,4201,4586,4201,4586,4206,4337,4206,4337,4228,4586,4228,4608,4228,4608,4206xe" filled="true" fillcolor="#000000" stroked="false">
              <v:path arrowok="t"/>
              <v:fill type="solid"/>
            </v:shape>
            <v:rect style="position:absolute;left:4317;top:4026;width:269;height:180" filled="true" fillcolor="#ffffff" stroked="false">
              <v:fill type="solid"/>
            </v:rect>
            <v:rect style="position:absolute;left:4317;top:4026;width:269;height:180" filled="false" stroked="true" strokeweight=".12pt" strokecolor="#000000">
              <v:stroke dashstyle="solid"/>
            </v:rect>
            <v:shape style="position:absolute;left:4583;top:4201;width:327;height:22" coordorigin="4584,4201" coordsize="327,22" path="m4910,4201l4584,4201,4584,4204,4584,4223,4889,4223,4910,4223,4910,4204,4910,4201xe" filled="true" fillcolor="#000000" stroked="false">
              <v:path arrowok="t"/>
              <v:fill type="solid"/>
            </v:shape>
            <v:rect style="position:absolute;left:4562;top:4021;width:327;height:180" filled="true" fillcolor="#ffffff" stroked="false">
              <v:fill type="solid"/>
            </v:rect>
            <v:rect style="position:absolute;left:4562;top:4021;width:327;height:180" filled="false" stroked="true" strokeweight=".12pt" strokecolor="#000000">
              <v:stroke dashstyle="solid"/>
            </v:rect>
            <v:shape style="position:absolute;left:4828;top:4203;width:272;height:22" coordorigin="4829,4204" coordsize="272,22" path="m5100,4204l4829,4204,4829,4206,4829,4225,5078,4225,5100,4225,5100,4206,5100,4204xe" filled="true" fillcolor="#000000" stroked="false">
              <v:path arrowok="t"/>
              <v:fill type="solid"/>
            </v:shape>
            <v:rect style="position:absolute;left:4809;top:4023;width:269;height:180" filled="true" fillcolor="#ffffff" stroked="false">
              <v:fill type="solid"/>
            </v:rect>
            <v:rect style="position:absolute;left:4809;top:4023;width:269;height:180" filled="false" stroked="true" strokeweight=".12pt" strokecolor="#000000">
              <v:stroke dashstyle="solid"/>
            </v:rect>
            <v:shape style="position:absolute;left:5078;top:4203;width:272;height:24" coordorigin="5078,4204" coordsize="272,24" path="m5350,4206l5350,4204,5326,4204,5326,4206,5078,4206,5078,4228,5326,4228,5350,4228,5350,4206xe" filled="true" fillcolor="#000000" stroked="false">
              <v:path arrowok="t"/>
              <v:fill type="solid"/>
            </v:shape>
            <v:rect style="position:absolute;left:5056;top:4026;width:269;height:180" filled="true" fillcolor="#ffffff" stroked="false">
              <v:fill type="solid"/>
            </v:rect>
            <v:rect style="position:absolute;left:5056;top:4026;width:269;height:180" filled="false" stroked="true" strokeweight=".12pt" strokecolor="#000000">
              <v:stroke dashstyle="solid"/>
            </v:rect>
            <v:shape style="position:absolute;left:5323;top:4203;width:272;height:22" coordorigin="5323,4204" coordsize="272,22" path="m5594,4204l5323,4204,5323,4209,5323,4225,5573,4225,5594,4225,5594,4209,5594,4204xe" filled="true" fillcolor="#000000" stroked="false">
              <v:path arrowok="t"/>
              <v:fill type="solid"/>
            </v:shape>
            <v:rect style="position:absolute;left:5304;top:4023;width:269;height:180" filled="true" fillcolor="#ffffff" stroked="false">
              <v:fill type="solid"/>
            </v:rect>
            <v:rect style="position:absolute;left:5304;top:4023;width:269;height:180" filled="false" stroked="true" strokeweight=".12pt" strokecolor="#000000">
              <v:stroke dashstyle="solid"/>
            </v:rect>
            <v:shape style="position:absolute;left:5572;top:4206;width:305;height:24" coordorigin="5573,4206" coordsize="305,24" path="m5878,4209l5878,4206,5856,4206,5856,4209,5573,4209,5573,4230,5856,4230,5878,4230,5878,4209xe" filled="true" fillcolor="#000000" stroked="false">
              <v:path arrowok="t"/>
              <v:fill type="solid"/>
            </v:shape>
            <v:rect style="position:absolute;left:5551;top:4028;width:305;height:180" filled="true" fillcolor="#ffffff" stroked="false">
              <v:fill type="solid"/>
            </v:rect>
            <v:rect style="position:absolute;left:5551;top:4028;width:305;height:180" filled="false" stroked="true" strokeweight=".12pt" strokecolor="#000000">
              <v:stroke dashstyle="solid"/>
            </v:rect>
            <v:shape style="position:absolute;left:5817;top:4206;width:272;height:22" coordorigin="5818,4206" coordsize="272,22" path="m6089,4206l5818,4206,5818,4211,5818,4228,6067,4228,6089,4228,6089,4211,6089,4206xe" filled="true" fillcolor="#000000" stroked="false">
              <v:path arrowok="t"/>
              <v:fill type="solid"/>
            </v:shape>
            <v:rect style="position:absolute;left:5798;top:4026;width:269;height:180" filled="true" fillcolor="#ffffff" stroked="false">
              <v:fill type="solid"/>
            </v:rect>
            <v:rect style="position:absolute;left:5798;top:4026;width:269;height:180" filled="false" stroked="true" strokeweight=".12pt" strokecolor="#000000">
              <v:stroke dashstyle="solid"/>
            </v:rect>
            <v:shape style="position:absolute;left:6067;top:4210;width:305;height:22" coordorigin="6067,4211" coordsize="305,22" path="m6372,4211l6067,4211,6067,4213,6067,4233,6350,4233,6372,4233,6372,4213,6372,4211xe" filled="true" fillcolor="#000000" stroked="false">
              <v:path arrowok="t"/>
              <v:fill type="solid"/>
            </v:shape>
            <v:rect style="position:absolute;left:6045;top:4030;width:305;height:180" filled="true" fillcolor="#ffffff" stroked="false">
              <v:fill type="solid"/>
            </v:rect>
            <v:rect style="position:absolute;left:6045;top:4030;width:305;height:180" filled="false" stroked="true" strokeweight=".12pt" strokecolor="#000000">
              <v:stroke dashstyle="solid"/>
            </v:rect>
            <v:shape style="position:absolute;left:6312;top:4203;width:363;height:32" coordorigin="6312,4204" coordsize="363,32" path="m6674,4213l6674,4204,6653,4204,6653,4213,6312,4213,6312,4235,6653,4235,6674,4235,6674,4213xe" filled="true" fillcolor="#000000" stroked="false">
              <v:path arrowok="t"/>
              <v:fill type="solid"/>
            </v:shape>
            <v:rect style="position:absolute;left:6292;top:4033;width:360;height:180" filled="true" fillcolor="#ffffff" stroked="false">
              <v:fill type="solid"/>
            </v:rect>
            <v:rect style="position:absolute;left:6292;top:4033;width:360;height:180" filled="false" stroked="true" strokeweight=".12pt" strokecolor="#000000">
              <v:stroke dashstyle="solid"/>
            </v:rect>
            <v:shape style="position:absolute;left:6559;top:4203;width:327;height:22" coordorigin="6559,4204" coordsize="327,22" path="m6886,4204l6559,4204,6559,4209,6559,4225,6864,4225,6886,4225,6886,4209,6886,4204xe" filled="true" fillcolor="#000000" stroked="false">
              <v:path arrowok="t"/>
              <v:fill type="solid"/>
            </v:shape>
            <v:rect style="position:absolute;left:6537;top:4023;width:327;height:180" filled="true" fillcolor="#ffffff" stroked="false">
              <v:fill type="solid"/>
            </v:rect>
            <v:rect style="position:absolute;left:6537;top:4023;width:327;height:180" filled="false" stroked="true" strokeweight=".12pt" strokecolor="#000000">
              <v:stroke dashstyle="solid"/>
            </v:rect>
            <v:shape style="position:absolute;left:6806;top:4201;width:272;height:29" coordorigin="6806,4201" coordsize="272,29" path="m7078,4209l7078,4201,7056,4201,7056,4209,6806,4209,6806,4230,7056,4230,7078,4230,7078,4209xe" filled="true" fillcolor="#000000" stroked="false">
              <v:path arrowok="t"/>
              <v:fill type="solid"/>
            </v:shape>
            <v:rect style="position:absolute;left:6787;top:4028;width:269;height:180" filled="true" fillcolor="#ffffff" stroked="false">
              <v:fill type="solid"/>
            </v:rect>
            <v:rect style="position:absolute;left:6787;top:4028;width:269;height:180" filled="false" stroked="true" strokeweight=".12pt" strokecolor="#000000">
              <v:stroke dashstyle="solid"/>
            </v:rect>
            <v:shape style="position:absolute;left:7053;top:4040;width:327;height:183" coordorigin="7054,4041" coordsize="327,183" path="m7380,4041l7358,4041,7358,4201,7054,4201,7054,4223,7358,4223,7380,4223,7380,4201,7380,4041xe" filled="true" fillcolor="#000000" stroked="false">
              <v:path arrowok="t"/>
              <v:fill type="solid"/>
            </v:shape>
            <v:rect style="position:absolute;left:7034;top:4021;width:324;height:180" filled="true" fillcolor="#ffffff" stroked="false">
              <v:fill type="solid"/>
            </v:rect>
            <v:shape style="position:absolute;left:7034;top:2266;width:2516;height:1935" coordorigin="7034,2267" coordsize="2516,1935" path="m7034,4201l7358,4201,7358,4021,7034,4021,7034,4201xm7646,2881l9550,2881,9550,2267,7646,2267,7646,2881xe" filled="false" stroked="true" strokeweight=".12pt" strokecolor="#000000">
              <v:path arrowok="t"/>
              <v:stroke dashstyle="solid"/>
            </v:shape>
            <v:rect style="position:absolute;left:7680;top:2312;width:219;height:63" filled="true" fillcolor="#993265" stroked="false">
              <v:fill type="solid"/>
            </v:rect>
            <v:rect style="position:absolute;left:7680;top:2312;width:219;height:63" filled="false" stroked="true" strokeweight=".495025pt" strokecolor="#000000">
              <v:stroke dashstyle="solid"/>
            </v:rect>
            <v:rect style="position:absolute;left:7680;top:2466;width:219;height:63" filled="true" fillcolor="#9999ff" stroked="false">
              <v:fill type="solid"/>
            </v:rect>
            <v:rect style="position:absolute;left:7680;top:2466;width:219;height:63" filled="false" stroked="true" strokeweight=".495025pt" strokecolor="#000000">
              <v:stroke dashstyle="solid"/>
            </v:rect>
            <v:shape style="position:absolute;left:7756;top:2610;width:63;height:63" coordorigin="7757,2610" coordsize="63,63" path="m7788,2610l7776,2613,7766,2619,7759,2629,7757,2641,7759,2653,7766,2663,7776,2670,7788,2673,7800,2670,7810,2663,7817,2653,7819,2641,7817,2629,7810,2619,7800,2613,7788,2610xe" filled="true" fillcolor="#ff0000" stroked="false">
              <v:path arrowok="t"/>
              <v:fill type="solid"/>
            </v:shape>
            <v:shape style="position:absolute;left:7756;top:2610;width:63;height:63" coordorigin="7757,2610" coordsize="63,63" path="m7819,2641l7817,2629,7810,2619,7800,2613,7788,2610,7776,2613,7766,2619,7759,2629,7757,2641,7759,2653,7766,2663,7776,2670,7788,2673,7800,2670,7810,2663,7817,2653,7819,2641xe" filled="false" stroked="true" strokeweight=".495841pt" strokecolor="#ff0000">
              <v:path arrowok="t"/>
              <v:stroke dashstyle="solid"/>
            </v:shape>
            <v:shape style="position:absolute;left:7680;top:2780;width:221;height:51" coordorigin="7680,2781" coordsize="221,51" path="m7680,2807l7901,2807m7788,2807l7764,2781m7788,2807l7814,2831m7788,2807l7764,2831m7788,2807l7814,2781e" filled="false" stroked="true" strokeweight=".495841pt" strokecolor="#00ffff">
              <v:path arrowok="t"/>
              <v:stroke dashstyle="solid"/>
            </v:shape>
            <v:rect style="position:absolute;left:2652;top:334;width:6932;height:4760" filled="false" stroked="true" strokeweight=".495496pt" strokecolor="#000000">
              <v:stroke dashstyle="solid"/>
            </v:rect>
            <v:shape style="position:absolute;left:2786;top:442;width:767;height:117" type="#_x0000_t202" filled="false" stroked="false">
              <v:textbox inset="0,0,0,0">
                <w:txbxContent>
                  <w:p>
                    <w:pPr>
                      <w:spacing w:before="0"/>
                      <w:ind w:left="0" w:right="0" w:firstLine="0"/>
                      <w:jc w:val="left"/>
                      <w:rPr>
                        <w:rFonts w:ascii="Arial"/>
                        <w:sz w:val="10"/>
                      </w:rPr>
                    </w:pPr>
                    <w:r>
                      <w:rPr>
                        <w:rFonts w:ascii="Arial"/>
                        <w:sz w:val="10"/>
                      </w:rPr>
                      <w:t>3,500,000,000.0</w:t>
                    </w:r>
                  </w:p>
                </w:txbxContent>
              </v:textbox>
              <w10:wrap type="none"/>
            </v:shape>
            <v:shape style="position:absolute;left:7221;top:442;width:280;height:117" type="#_x0000_t202" filled="false" stroked="false">
              <v:textbox inset="0,0,0,0">
                <w:txbxContent>
                  <w:p>
                    <w:pPr>
                      <w:spacing w:before="0"/>
                      <w:ind w:left="0" w:right="0" w:firstLine="0"/>
                      <w:jc w:val="left"/>
                      <w:rPr>
                        <w:rFonts w:ascii="Arial"/>
                        <w:sz w:val="10"/>
                      </w:rPr>
                    </w:pPr>
                    <w:r>
                      <w:rPr>
                        <w:rFonts w:ascii="Arial"/>
                        <w:w w:val="105"/>
                        <w:sz w:val="10"/>
                      </w:rPr>
                      <w:t>70.00</w:t>
                    </w:r>
                  </w:p>
                </w:txbxContent>
              </v:textbox>
              <w10:wrap type="none"/>
            </v:shape>
            <v:shape style="position:absolute;left:2786;top:1032;width:767;height:117" type="#_x0000_t202" filled="false" stroked="false">
              <v:textbox inset="0,0,0,0">
                <w:txbxContent>
                  <w:p>
                    <w:pPr>
                      <w:spacing w:before="0"/>
                      <w:ind w:left="0" w:right="0" w:firstLine="0"/>
                      <w:jc w:val="left"/>
                      <w:rPr>
                        <w:rFonts w:ascii="Arial"/>
                        <w:sz w:val="10"/>
                      </w:rPr>
                    </w:pPr>
                    <w:r>
                      <w:rPr>
                        <w:rFonts w:ascii="Arial"/>
                        <w:sz w:val="10"/>
                      </w:rPr>
                      <w:t>3,000,000,000.0</w:t>
                    </w:r>
                  </w:p>
                </w:txbxContent>
              </v:textbox>
              <w10:wrap type="none"/>
            </v:shape>
            <v:shape style="position:absolute;left:7221;top:960;width:280;height:633" type="#_x0000_t202" filled="false" stroked="false">
              <v:textbox inset="0,0,0,0">
                <w:txbxContent>
                  <w:p>
                    <w:pPr>
                      <w:spacing w:before="0"/>
                      <w:ind w:left="0" w:right="0" w:firstLine="0"/>
                      <w:jc w:val="left"/>
                      <w:rPr>
                        <w:rFonts w:ascii="Arial"/>
                        <w:sz w:val="10"/>
                      </w:rPr>
                    </w:pPr>
                    <w:r>
                      <w:rPr>
                        <w:rFonts w:ascii="Arial"/>
                        <w:w w:val="105"/>
                        <w:sz w:val="10"/>
                      </w:rPr>
                      <w:t>60.00</w:t>
                    </w:r>
                  </w:p>
                  <w:p>
                    <w:pPr>
                      <w:spacing w:line="240" w:lineRule="auto" w:before="0"/>
                      <w:rPr>
                        <w:rFonts w:ascii="Arial"/>
                        <w:sz w:val="12"/>
                      </w:rPr>
                    </w:pPr>
                  </w:p>
                  <w:p>
                    <w:pPr>
                      <w:spacing w:line="240" w:lineRule="auto" w:before="0"/>
                      <w:rPr>
                        <w:rFonts w:ascii="Arial"/>
                        <w:sz w:val="12"/>
                      </w:rPr>
                    </w:pPr>
                  </w:p>
                  <w:p>
                    <w:pPr>
                      <w:spacing w:line="240" w:lineRule="auto" w:before="10"/>
                      <w:rPr>
                        <w:rFonts w:ascii="Arial"/>
                        <w:sz w:val="10"/>
                      </w:rPr>
                    </w:pPr>
                  </w:p>
                  <w:p>
                    <w:pPr>
                      <w:spacing w:before="0"/>
                      <w:ind w:left="0" w:right="0" w:firstLine="0"/>
                      <w:jc w:val="left"/>
                      <w:rPr>
                        <w:rFonts w:ascii="Arial"/>
                        <w:sz w:val="10"/>
                      </w:rPr>
                    </w:pPr>
                    <w:r>
                      <w:rPr>
                        <w:rFonts w:ascii="Arial"/>
                        <w:w w:val="105"/>
                        <w:sz w:val="10"/>
                      </w:rPr>
                      <w:t>50.00</w:t>
                    </w:r>
                  </w:p>
                </w:txbxContent>
              </v:textbox>
              <w10:wrap type="none"/>
            </v:shape>
            <v:shape style="position:absolute;left:2786;top:1625;width:767;height:117" type="#_x0000_t202" filled="false" stroked="false">
              <v:textbox inset="0,0,0,0">
                <w:txbxContent>
                  <w:p>
                    <w:pPr>
                      <w:spacing w:before="0"/>
                      <w:ind w:left="0" w:right="0" w:firstLine="0"/>
                      <w:jc w:val="left"/>
                      <w:rPr>
                        <w:rFonts w:ascii="Arial"/>
                        <w:sz w:val="10"/>
                      </w:rPr>
                    </w:pPr>
                    <w:r>
                      <w:rPr>
                        <w:rFonts w:ascii="Arial"/>
                        <w:sz w:val="10"/>
                      </w:rPr>
                      <w:t>2,500,000,000.0</w:t>
                    </w:r>
                  </w:p>
                </w:txbxContent>
              </v:textbox>
              <w10:wrap type="none"/>
            </v:shape>
            <v:shape style="position:absolute;left:7221;top:1995;width:280;height:117" type="#_x0000_t202" filled="false" stroked="false">
              <v:textbox inset="0,0,0,0">
                <w:txbxContent>
                  <w:p>
                    <w:pPr>
                      <w:spacing w:before="0"/>
                      <w:ind w:left="0" w:right="0" w:firstLine="0"/>
                      <w:jc w:val="left"/>
                      <w:rPr>
                        <w:rFonts w:ascii="Arial"/>
                        <w:sz w:val="10"/>
                      </w:rPr>
                    </w:pPr>
                    <w:r>
                      <w:rPr>
                        <w:rFonts w:ascii="Arial"/>
                        <w:w w:val="105"/>
                        <w:sz w:val="10"/>
                      </w:rPr>
                      <w:t>40.00</w:t>
                    </w:r>
                  </w:p>
                </w:txbxContent>
              </v:textbox>
              <w10:wrap type="none"/>
            </v:shape>
            <v:shape style="position:absolute;left:2786;top:2218;width:767;height:117" type="#_x0000_t202" filled="false" stroked="false">
              <v:textbox inset="0,0,0,0">
                <w:txbxContent>
                  <w:p>
                    <w:pPr>
                      <w:spacing w:before="0"/>
                      <w:ind w:left="0" w:right="0" w:firstLine="0"/>
                      <w:jc w:val="left"/>
                      <w:rPr>
                        <w:rFonts w:ascii="Arial"/>
                        <w:sz w:val="10"/>
                      </w:rPr>
                    </w:pPr>
                    <w:r>
                      <w:rPr>
                        <w:rFonts w:ascii="Arial"/>
                        <w:sz w:val="10"/>
                      </w:rPr>
                      <w:t>2,000,000,000.0</w:t>
                    </w:r>
                  </w:p>
                </w:txbxContent>
              </v:textbox>
              <w10:wrap type="none"/>
            </v:shape>
            <v:shape style="position:absolute;left:7927;top:2288;width:698;height:117" type="#_x0000_t202" filled="false" stroked="false">
              <v:textbox inset="0,0,0,0">
                <w:txbxContent>
                  <w:p>
                    <w:pPr>
                      <w:spacing w:before="0"/>
                      <w:ind w:left="0" w:right="0" w:firstLine="0"/>
                      <w:jc w:val="left"/>
                      <w:rPr>
                        <w:rFonts w:ascii="Arial"/>
                        <w:sz w:val="10"/>
                      </w:rPr>
                    </w:pPr>
                    <w:r>
                      <w:rPr>
                        <w:rFonts w:ascii="Arial"/>
                        <w:w w:val="105"/>
                        <w:sz w:val="10"/>
                      </w:rPr>
                      <w:t>Total Volumen</w:t>
                    </w:r>
                  </w:p>
                </w:txbxContent>
              </v:textbox>
              <w10:wrap type="none"/>
            </v:shape>
            <v:shape style="position:absolute;left:7221;top:2513;width:280;height:117" type="#_x0000_t202" filled="false" stroked="false">
              <v:textbox inset="0,0,0,0">
                <w:txbxContent>
                  <w:p>
                    <w:pPr>
                      <w:spacing w:before="0"/>
                      <w:ind w:left="0" w:right="0" w:firstLine="0"/>
                      <w:jc w:val="left"/>
                      <w:rPr>
                        <w:rFonts w:ascii="Arial"/>
                        <w:sz w:val="10"/>
                      </w:rPr>
                    </w:pPr>
                    <w:r>
                      <w:rPr>
                        <w:rFonts w:ascii="Arial"/>
                        <w:w w:val="105"/>
                        <w:sz w:val="10"/>
                      </w:rPr>
                      <w:t>30.00</w:t>
                    </w:r>
                  </w:p>
                </w:txbxContent>
              </v:textbox>
              <w10:wrap type="none"/>
            </v:shape>
            <v:shape style="position:absolute;left:7680;top:2439;width:773;height:191" type="#_x0000_t202" filled="false" stroked="false">
              <v:textbox inset="0,0,0,0">
                <w:txbxContent>
                  <w:p>
                    <w:pPr>
                      <w:tabs>
                        <w:tab w:pos="244" w:val="left" w:leader="none"/>
                      </w:tabs>
                      <w:spacing w:before="0"/>
                      <w:ind w:left="0" w:right="0" w:firstLine="0"/>
                      <w:jc w:val="left"/>
                      <w:rPr>
                        <w:rFonts w:ascii="Arial"/>
                        <w:sz w:val="10"/>
                      </w:rPr>
                    </w:pPr>
                    <w:r>
                      <w:rPr>
                        <w:rFonts w:ascii="Arial"/>
                        <w:w w:val="104"/>
                        <w:position w:val="-6"/>
                        <w:sz w:val="10"/>
                        <w:u w:val="thick" w:color="FF0000"/>
                      </w:rPr>
                      <w:t> </w:t>
                    </w:r>
                    <w:r>
                      <w:rPr>
                        <w:rFonts w:ascii="Arial"/>
                        <w:position w:val="-6"/>
                        <w:sz w:val="10"/>
                        <w:u w:val="thick" w:color="FF0000"/>
                      </w:rPr>
                      <w:tab/>
                    </w:r>
                    <w:r>
                      <w:rPr>
                        <w:rFonts w:ascii="Arial"/>
                        <w:w w:val="105"/>
                        <w:sz w:val="10"/>
                      </w:rPr>
                      <w:t>Total</w:t>
                    </w:r>
                    <w:r>
                      <w:rPr>
                        <w:rFonts w:ascii="Arial"/>
                        <w:spacing w:val="-4"/>
                        <w:w w:val="105"/>
                        <w:sz w:val="10"/>
                      </w:rPr>
                      <w:t> </w:t>
                    </w:r>
                    <w:r>
                      <w:rPr>
                        <w:rFonts w:ascii="Arial"/>
                        <w:w w:val="105"/>
                        <w:sz w:val="10"/>
                      </w:rPr>
                      <w:t>Valor</w:t>
                    </w:r>
                  </w:p>
                </w:txbxContent>
              </v:textbox>
              <w10:wrap type="none"/>
            </v:shape>
            <v:shape style="position:absolute;left:2786;top:2808;width:767;height:117" type="#_x0000_t202" filled="false" stroked="false">
              <v:textbox inset="0,0,0,0">
                <w:txbxContent>
                  <w:p>
                    <w:pPr>
                      <w:spacing w:before="0"/>
                      <w:ind w:left="0" w:right="0" w:firstLine="0"/>
                      <w:jc w:val="left"/>
                      <w:rPr>
                        <w:rFonts w:ascii="Arial"/>
                        <w:sz w:val="10"/>
                      </w:rPr>
                    </w:pPr>
                    <w:r>
                      <w:rPr>
                        <w:rFonts w:ascii="Arial"/>
                        <w:sz w:val="10"/>
                      </w:rPr>
                      <w:t>1,500,000,000.0</w:t>
                    </w:r>
                  </w:p>
                </w:txbxContent>
              </v:textbox>
              <w10:wrap type="none"/>
            </v:shape>
            <v:shape style="position:absolute;left:7927;top:2592;width:1610;height:270" type="#_x0000_t202" filled="false" stroked="false">
              <v:textbox inset="0,0,0,0">
                <w:txbxContent>
                  <w:p>
                    <w:pPr>
                      <w:spacing w:before="0"/>
                      <w:ind w:left="0" w:right="0" w:firstLine="0"/>
                      <w:jc w:val="left"/>
                      <w:rPr>
                        <w:rFonts w:ascii="Arial"/>
                        <w:sz w:val="10"/>
                      </w:rPr>
                    </w:pPr>
                    <w:r>
                      <w:rPr>
                        <w:rFonts w:ascii="Arial"/>
                        <w:w w:val="105"/>
                        <w:sz w:val="10"/>
                      </w:rPr>
                      <w:t>Total Precio</w:t>
                    </w:r>
                  </w:p>
                  <w:p>
                    <w:pPr>
                      <w:spacing w:before="39"/>
                      <w:ind w:left="0" w:right="0" w:firstLine="0"/>
                      <w:jc w:val="left"/>
                      <w:rPr>
                        <w:rFonts w:ascii="Arial"/>
                        <w:sz w:val="10"/>
                      </w:rPr>
                    </w:pPr>
                    <w:r>
                      <w:rPr>
                        <w:rFonts w:ascii="Arial"/>
                        <w:w w:val="105"/>
                        <w:sz w:val="10"/>
                      </w:rPr>
                      <w:t>Tasas de crecimiento del volumen</w:t>
                    </w:r>
                  </w:p>
                </w:txbxContent>
              </v:textbox>
              <w10:wrap type="none"/>
            </v:shape>
            <v:shape style="position:absolute;left:7221;top:3032;width:280;height:117" type="#_x0000_t202" filled="false" stroked="false">
              <v:textbox inset="0,0,0,0">
                <w:txbxContent>
                  <w:p>
                    <w:pPr>
                      <w:spacing w:before="0"/>
                      <w:ind w:left="0" w:right="0" w:firstLine="0"/>
                      <w:jc w:val="left"/>
                      <w:rPr>
                        <w:rFonts w:ascii="Arial"/>
                        <w:sz w:val="10"/>
                      </w:rPr>
                    </w:pPr>
                    <w:r>
                      <w:rPr>
                        <w:rFonts w:ascii="Arial"/>
                        <w:w w:val="105"/>
                        <w:sz w:val="10"/>
                      </w:rPr>
                      <w:t>20.00</w:t>
                    </w:r>
                  </w:p>
                </w:txbxContent>
              </v:textbox>
              <w10:wrap type="none"/>
            </v:shape>
            <v:shape style="position:absolute;left:2786;top:3401;width:767;height:117" type="#_x0000_t202" filled="false" stroked="false">
              <v:textbox inset="0,0,0,0">
                <w:txbxContent>
                  <w:p>
                    <w:pPr>
                      <w:spacing w:before="0"/>
                      <w:ind w:left="0" w:right="0" w:firstLine="0"/>
                      <w:jc w:val="left"/>
                      <w:rPr>
                        <w:rFonts w:ascii="Arial"/>
                        <w:sz w:val="10"/>
                      </w:rPr>
                    </w:pPr>
                    <w:r>
                      <w:rPr>
                        <w:rFonts w:ascii="Arial"/>
                        <w:sz w:val="10"/>
                      </w:rPr>
                      <w:t>1,000,000,000.0</w:t>
                    </w:r>
                  </w:p>
                </w:txbxContent>
              </v:textbox>
              <w10:wrap type="none"/>
            </v:shape>
            <v:shape style="position:absolute;left:7221;top:3550;width:280;height:117" type="#_x0000_t202" filled="false" stroked="false">
              <v:textbox inset="0,0,0,0">
                <w:txbxContent>
                  <w:p>
                    <w:pPr>
                      <w:spacing w:before="0"/>
                      <w:ind w:left="0" w:right="0" w:firstLine="0"/>
                      <w:jc w:val="left"/>
                      <w:rPr>
                        <w:rFonts w:ascii="Arial"/>
                        <w:sz w:val="10"/>
                      </w:rPr>
                    </w:pPr>
                    <w:r>
                      <w:rPr>
                        <w:rFonts w:ascii="Arial"/>
                        <w:w w:val="105"/>
                        <w:sz w:val="10"/>
                      </w:rPr>
                      <w:t>10.00</w:t>
                    </w:r>
                  </w:p>
                </w:txbxContent>
              </v:textbox>
              <w10:wrap type="none"/>
            </v:shape>
            <v:shape style="position:absolute;left:2872;top:3992;width:681;height:117" type="#_x0000_t202" filled="false" stroked="false">
              <v:textbox inset="0,0,0,0">
                <w:txbxContent>
                  <w:p>
                    <w:pPr>
                      <w:spacing w:before="0"/>
                      <w:ind w:left="0" w:right="0" w:firstLine="0"/>
                      <w:jc w:val="left"/>
                      <w:rPr>
                        <w:rFonts w:ascii="Arial"/>
                        <w:sz w:val="10"/>
                      </w:rPr>
                    </w:pPr>
                    <w:r>
                      <w:rPr>
                        <w:rFonts w:ascii="Arial"/>
                        <w:w w:val="105"/>
                        <w:sz w:val="10"/>
                      </w:rPr>
                      <w:t>500,000,000.0</w:t>
                    </w:r>
                  </w:p>
                </w:txbxContent>
              </v:textbox>
              <w10:wrap type="none"/>
            </v:shape>
            <v:shape style="position:absolute;left:4087;top:4049;width:3279;height:133" type="#_x0000_t202" filled="false" stroked="false">
              <v:textbox inset="0,0,0,0">
                <w:txbxContent>
                  <w:p>
                    <w:pPr>
                      <w:spacing w:line="132" w:lineRule="exact" w:before="0"/>
                      <w:ind w:left="0" w:right="0" w:firstLine="0"/>
                      <w:jc w:val="left"/>
                      <w:rPr>
                        <w:rFonts w:ascii="Arial"/>
                        <w:sz w:val="10"/>
                      </w:rPr>
                    </w:pPr>
                    <w:r>
                      <w:rPr>
                        <w:rFonts w:ascii="Arial"/>
                        <w:w w:val="105"/>
                        <w:position w:val="1"/>
                        <w:sz w:val="10"/>
                      </w:rPr>
                      <w:t>5.2% 4.8%</w:t>
                    </w:r>
                    <w:r>
                      <w:rPr>
                        <w:rFonts w:ascii="Arial"/>
                        <w:w w:val="105"/>
                        <w:position w:val="2"/>
                        <w:sz w:val="10"/>
                      </w:rPr>
                      <w:t>14.1 </w:t>
                    </w:r>
                    <w:r>
                      <w:rPr>
                        <w:rFonts w:ascii="Arial"/>
                        <w:w w:val="105"/>
                        <w:position w:val="1"/>
                        <w:sz w:val="10"/>
                      </w:rPr>
                      <w:t>9.5% 2.8% 8.1%-1.0 2.9%-6.3 </w:t>
                    </w:r>
                    <w:r>
                      <w:rPr>
                        <w:rFonts w:ascii="Arial"/>
                        <w:w w:val="105"/>
                        <w:sz w:val="10"/>
                      </w:rPr>
                      <w:t>-10.3</w:t>
                    </w:r>
                    <w:r>
                      <w:rPr>
                        <w:rFonts w:ascii="Arial"/>
                        <w:w w:val="105"/>
                        <w:position w:val="1"/>
                        <w:sz w:val="10"/>
                      </w:rPr>
                      <w:t>10.5 0.4%</w:t>
                    </w:r>
                    <w:r>
                      <w:rPr>
                        <w:rFonts w:ascii="Arial"/>
                        <w:w w:val="105"/>
                        <w:position w:val="2"/>
                        <w:sz w:val="10"/>
                      </w:rPr>
                      <w:t>12.9</w:t>
                    </w:r>
                    <w:r>
                      <w:rPr>
                        <w:rFonts w:ascii="Arial"/>
                        <w:w w:val="105"/>
                        <w:sz w:val="10"/>
                      </w:rPr>
                      <w:t>-</w:t>
                    </w:r>
                    <w:r>
                      <w:rPr>
                        <w:rFonts w:ascii="Arial"/>
                        <w:w w:val="105"/>
                        <w:position w:val="2"/>
                        <w:sz w:val="10"/>
                      </w:rPr>
                      <w:t>%</w:t>
                    </w:r>
                  </w:p>
                </w:txbxContent>
              </v:textbox>
              <w10:wrap type="none"/>
            </v:shape>
            <v:shape style="position:absolute;left:3384;top:4584;width:55;height:117" type="#_x0000_t202" filled="false" stroked="false">
              <v:textbox inset="0,0,0,0">
                <w:txbxContent>
                  <w:p>
                    <w:pPr>
                      <w:spacing w:before="0"/>
                      <w:ind w:left="0" w:right="0" w:firstLine="0"/>
                      <w:jc w:val="left"/>
                      <w:rPr>
                        <w:rFonts w:ascii="Arial"/>
                        <w:sz w:val="10"/>
                      </w:rPr>
                    </w:pPr>
                    <w:r>
                      <w:rPr>
                        <w:rFonts w:ascii="Arial"/>
                        <w:w w:val="104"/>
                        <w:sz w:val="10"/>
                      </w:rPr>
                      <w:t>-</w:t>
                    </w:r>
                  </w:p>
                </w:txbxContent>
              </v:textbox>
              <w10:wrap type="none"/>
            </v:shape>
            <v:shape style="position:absolute;left:7221;top:4584;width:348;height:117" type="#_x0000_t202" filled="false" stroked="false">
              <v:textbox inset="0,0,0,0">
                <w:txbxContent>
                  <w:p>
                    <w:pPr>
                      <w:spacing w:before="0"/>
                      <w:ind w:left="0" w:right="0" w:firstLine="0"/>
                      <w:jc w:val="left"/>
                      <w:rPr>
                        <w:rFonts w:ascii="Arial"/>
                        <w:sz w:val="10"/>
                      </w:rPr>
                    </w:pPr>
                    <w:r>
                      <w:rPr>
                        <w:rFonts w:ascii="Arial"/>
                        <w:w w:val="105"/>
                        <w:sz w:val="10"/>
                      </w:rPr>
                      <w:t>(10.00)</w:t>
                    </w:r>
                  </w:p>
                </w:txbxContent>
              </v:textbox>
              <w10:wrap type="none"/>
            </v:shape>
            <v:shape style="position:absolute;left:3657;top:4736;width:3460;height:244" type="#_x0000_t202" filled="false" stroked="false">
              <v:textbox inset="0,0,0,0">
                <w:txbxContent>
                  <w:p>
                    <w:pPr>
                      <w:spacing w:before="0"/>
                      <w:ind w:left="0" w:right="18" w:firstLine="0"/>
                      <w:jc w:val="right"/>
                      <w:rPr>
                        <w:rFonts w:ascii="Arial"/>
                        <w:sz w:val="10"/>
                      </w:rPr>
                    </w:pPr>
                    <w:r>
                      <w:rPr>
                        <w:rFonts w:ascii="Arial"/>
                        <w:w w:val="105"/>
                        <w:sz w:val="10"/>
                      </w:rPr>
                      <w:t>1994</w:t>
                    </w:r>
                    <w:r>
                      <w:rPr>
                        <w:rFonts w:ascii="Arial"/>
                        <w:spacing w:val="-20"/>
                        <w:w w:val="105"/>
                        <w:sz w:val="10"/>
                      </w:rPr>
                      <w:t> </w:t>
                    </w:r>
                    <w:r>
                      <w:rPr>
                        <w:rFonts w:ascii="Arial"/>
                        <w:w w:val="105"/>
                        <w:sz w:val="10"/>
                      </w:rPr>
                      <w:t>1995</w:t>
                    </w:r>
                    <w:r>
                      <w:rPr>
                        <w:rFonts w:ascii="Arial"/>
                        <w:spacing w:val="-18"/>
                        <w:w w:val="105"/>
                        <w:sz w:val="10"/>
                      </w:rPr>
                      <w:t> </w:t>
                    </w:r>
                    <w:r>
                      <w:rPr>
                        <w:rFonts w:ascii="Arial"/>
                        <w:w w:val="105"/>
                        <w:sz w:val="10"/>
                      </w:rPr>
                      <w:t>1996</w:t>
                    </w:r>
                    <w:r>
                      <w:rPr>
                        <w:rFonts w:ascii="Arial"/>
                        <w:spacing w:val="-19"/>
                        <w:w w:val="105"/>
                        <w:sz w:val="10"/>
                      </w:rPr>
                      <w:t> </w:t>
                    </w:r>
                    <w:r>
                      <w:rPr>
                        <w:rFonts w:ascii="Arial"/>
                        <w:w w:val="105"/>
                        <w:sz w:val="10"/>
                      </w:rPr>
                      <w:t>1997</w:t>
                    </w:r>
                    <w:r>
                      <w:rPr>
                        <w:rFonts w:ascii="Arial"/>
                        <w:spacing w:val="-19"/>
                        <w:w w:val="105"/>
                        <w:sz w:val="10"/>
                      </w:rPr>
                      <w:t> </w:t>
                    </w:r>
                    <w:r>
                      <w:rPr>
                        <w:rFonts w:ascii="Arial"/>
                        <w:w w:val="105"/>
                        <w:sz w:val="10"/>
                      </w:rPr>
                      <w:t>1998</w:t>
                    </w:r>
                    <w:r>
                      <w:rPr>
                        <w:rFonts w:ascii="Arial"/>
                        <w:spacing w:val="-17"/>
                        <w:w w:val="105"/>
                        <w:sz w:val="10"/>
                      </w:rPr>
                      <w:t> </w:t>
                    </w:r>
                    <w:r>
                      <w:rPr>
                        <w:rFonts w:ascii="Arial"/>
                        <w:w w:val="105"/>
                        <w:sz w:val="10"/>
                      </w:rPr>
                      <w:t>1999</w:t>
                    </w:r>
                    <w:r>
                      <w:rPr>
                        <w:rFonts w:ascii="Arial"/>
                        <w:spacing w:val="-19"/>
                        <w:w w:val="105"/>
                        <w:sz w:val="10"/>
                      </w:rPr>
                      <w:t> </w:t>
                    </w:r>
                    <w:r>
                      <w:rPr>
                        <w:rFonts w:ascii="Arial"/>
                        <w:w w:val="105"/>
                        <w:sz w:val="10"/>
                      </w:rPr>
                      <w:t>2000</w:t>
                    </w:r>
                    <w:r>
                      <w:rPr>
                        <w:rFonts w:ascii="Arial"/>
                        <w:spacing w:val="-17"/>
                        <w:w w:val="105"/>
                        <w:sz w:val="10"/>
                      </w:rPr>
                      <w:t> </w:t>
                    </w:r>
                    <w:r>
                      <w:rPr>
                        <w:rFonts w:ascii="Arial"/>
                        <w:w w:val="105"/>
                        <w:sz w:val="10"/>
                      </w:rPr>
                      <w:t>2001</w:t>
                    </w:r>
                    <w:r>
                      <w:rPr>
                        <w:rFonts w:ascii="Arial"/>
                        <w:spacing w:val="-19"/>
                        <w:w w:val="105"/>
                        <w:sz w:val="10"/>
                      </w:rPr>
                      <w:t> </w:t>
                    </w:r>
                    <w:r>
                      <w:rPr>
                        <w:rFonts w:ascii="Arial"/>
                        <w:w w:val="105"/>
                        <w:sz w:val="10"/>
                      </w:rPr>
                      <w:t>2002</w:t>
                    </w:r>
                    <w:r>
                      <w:rPr>
                        <w:rFonts w:ascii="Arial"/>
                        <w:spacing w:val="-18"/>
                        <w:w w:val="105"/>
                        <w:sz w:val="10"/>
                      </w:rPr>
                      <w:t> </w:t>
                    </w:r>
                    <w:r>
                      <w:rPr>
                        <w:rFonts w:ascii="Arial"/>
                        <w:w w:val="105"/>
                        <w:sz w:val="10"/>
                      </w:rPr>
                      <w:t>2003</w:t>
                    </w:r>
                    <w:r>
                      <w:rPr>
                        <w:rFonts w:ascii="Arial"/>
                        <w:spacing w:val="-19"/>
                        <w:w w:val="105"/>
                        <w:sz w:val="10"/>
                      </w:rPr>
                      <w:t> </w:t>
                    </w:r>
                    <w:r>
                      <w:rPr>
                        <w:rFonts w:ascii="Arial"/>
                        <w:w w:val="105"/>
                        <w:sz w:val="10"/>
                      </w:rPr>
                      <w:t>2004</w:t>
                    </w:r>
                    <w:r>
                      <w:rPr>
                        <w:rFonts w:ascii="Arial"/>
                        <w:spacing w:val="-20"/>
                        <w:w w:val="105"/>
                        <w:sz w:val="10"/>
                      </w:rPr>
                      <w:t> </w:t>
                    </w:r>
                    <w:r>
                      <w:rPr>
                        <w:rFonts w:ascii="Arial"/>
                        <w:w w:val="105"/>
                        <w:sz w:val="10"/>
                      </w:rPr>
                      <w:t>2005</w:t>
                    </w:r>
                    <w:r>
                      <w:rPr>
                        <w:rFonts w:ascii="Arial"/>
                        <w:spacing w:val="-17"/>
                        <w:w w:val="105"/>
                        <w:sz w:val="10"/>
                      </w:rPr>
                      <w:t> </w:t>
                    </w:r>
                    <w:r>
                      <w:rPr>
                        <w:rFonts w:ascii="Arial"/>
                        <w:w w:val="105"/>
                        <w:sz w:val="10"/>
                      </w:rPr>
                      <w:t>2006</w:t>
                    </w:r>
                    <w:r>
                      <w:rPr>
                        <w:rFonts w:ascii="Arial"/>
                        <w:spacing w:val="-20"/>
                        <w:w w:val="105"/>
                        <w:sz w:val="10"/>
                      </w:rPr>
                      <w:t> </w:t>
                    </w:r>
                    <w:r>
                      <w:rPr>
                        <w:rFonts w:ascii="Arial"/>
                        <w:w w:val="105"/>
                        <w:sz w:val="10"/>
                      </w:rPr>
                      <w:t>2007</w:t>
                    </w:r>
                  </w:p>
                  <w:p>
                    <w:pPr>
                      <w:tabs>
                        <w:tab w:pos="247" w:val="left" w:leader="none"/>
                      </w:tabs>
                      <w:spacing w:before="12"/>
                      <w:ind w:left="0" w:right="112" w:firstLine="0"/>
                      <w:jc w:val="right"/>
                      <w:rPr>
                        <w:rFonts w:ascii="Arial"/>
                        <w:sz w:val="10"/>
                      </w:rPr>
                    </w:pPr>
                    <w:r>
                      <w:rPr>
                        <w:rFonts w:ascii="Arial"/>
                        <w:w w:val="105"/>
                        <w:sz w:val="10"/>
                      </w:rPr>
                      <w:t>*</w:t>
                      <w:tab/>
                    </w:r>
                    <w:r>
                      <w:rPr>
                        <w:rFonts w:ascii="Arial"/>
                        <w:sz w:val="10"/>
                      </w:rPr>
                      <w:t>*</w:t>
                    </w:r>
                  </w:p>
                </w:txbxContent>
              </v:textbox>
              <w10:wrap type="none"/>
            </v:shape>
            <w10:wrap type="topAndBottom"/>
          </v:group>
        </w:pict>
      </w:r>
    </w:p>
    <w:p>
      <w:pPr>
        <w:spacing w:before="202"/>
        <w:ind w:left="219" w:right="315" w:firstLine="0"/>
        <w:jc w:val="left"/>
        <w:rPr>
          <w:sz w:val="16"/>
        </w:rPr>
      </w:pPr>
      <w:r>
        <w:rPr>
          <w:sz w:val="16"/>
        </w:rPr>
        <w:t>Fuente: “Estudio Prospectiva de la Demanda de Energía de República Dominicana”, Fundación Bariloche, con datos del Banco Central de la República Dominicana, Agosto 2008.</w:t>
      </w:r>
    </w:p>
    <w:p>
      <w:pPr>
        <w:pStyle w:val="BodyText"/>
        <w:spacing w:before="10"/>
      </w:pPr>
    </w:p>
    <w:p>
      <w:pPr>
        <w:pStyle w:val="Heading9"/>
        <w:ind w:left="524" w:right="521"/>
        <w:jc w:val="center"/>
      </w:pPr>
      <w:r>
        <w:rPr/>
        <w:pict>
          <v:shape style="position:absolute;margin-left:239.161362pt;margin-top:-97.721184pt;width:4.650pt;height:5.85pt;mso-position-horizontal-relative:page;mso-position-vertical-relative:paragraph;z-index:-19180544" type="#_x0000_t202" filled="false" stroked="false">
            <v:textbox inset="0,0,0,0">
              <w:txbxContent>
                <w:p>
                  <w:pPr>
                    <w:spacing w:before="0"/>
                    <w:ind w:left="0" w:right="0" w:firstLine="0"/>
                    <w:jc w:val="left"/>
                    <w:rPr>
                      <w:rFonts w:ascii="Arial"/>
                      <w:sz w:val="10"/>
                    </w:rPr>
                  </w:pPr>
                  <w:r>
                    <w:rPr>
                      <w:rFonts w:ascii="Arial"/>
                      <w:w w:val="104"/>
                      <w:sz w:val="10"/>
                    </w:rPr>
                    <w:t>%</w:t>
                  </w:r>
                </w:p>
              </w:txbxContent>
            </v:textbox>
            <w10:wrap type="none"/>
          </v:shape>
        </w:pict>
      </w:r>
      <w:r>
        <w:rPr/>
        <w:pict>
          <v:shape style="position:absolute;margin-left:287.520599pt;margin-top:-97.361183pt;width:4.650pt;height:5.85pt;mso-position-horizontal-relative:page;mso-position-vertical-relative:paragraph;z-index:-19180032" type="#_x0000_t202" filled="false" stroked="false">
            <v:textbox inset="0,0,0,0">
              <w:txbxContent>
                <w:p>
                  <w:pPr>
                    <w:spacing w:before="0"/>
                    <w:ind w:left="0" w:right="0" w:firstLine="0"/>
                    <w:jc w:val="left"/>
                    <w:rPr>
                      <w:rFonts w:ascii="Arial"/>
                      <w:sz w:val="10"/>
                    </w:rPr>
                  </w:pPr>
                  <w:r>
                    <w:rPr>
                      <w:rFonts w:ascii="Arial"/>
                      <w:w w:val="104"/>
                      <w:sz w:val="10"/>
                    </w:rPr>
                    <w:t>%</w:t>
                  </w:r>
                </w:p>
              </w:txbxContent>
            </v:textbox>
            <w10:wrap type="none"/>
          </v:shape>
        </w:pict>
      </w:r>
      <w:r>
        <w:rPr/>
        <w:pict>
          <v:shape style="position:absolute;margin-left:312.240601pt;margin-top:-97.24118pt;width:4.650pt;height:5.85pt;mso-position-horizontal-relative:page;mso-position-vertical-relative:paragraph;z-index:-19179520" type="#_x0000_t202" filled="false" stroked="false">
            <v:textbox inset="0,0,0,0">
              <w:txbxContent>
                <w:p>
                  <w:pPr>
                    <w:spacing w:before="0"/>
                    <w:ind w:left="0" w:right="0" w:firstLine="0"/>
                    <w:jc w:val="left"/>
                    <w:rPr>
                      <w:rFonts w:ascii="Arial"/>
                      <w:sz w:val="10"/>
                    </w:rPr>
                  </w:pPr>
                  <w:r>
                    <w:rPr>
                      <w:rFonts w:ascii="Arial"/>
                      <w:w w:val="104"/>
                      <w:sz w:val="10"/>
                    </w:rPr>
                    <w:t>%</w:t>
                  </w:r>
                </w:p>
              </w:txbxContent>
            </v:textbox>
            <w10:wrap type="none"/>
          </v:shape>
        </w:pict>
      </w:r>
      <w:r>
        <w:rPr/>
        <w:pict>
          <v:shape style="position:absolute;margin-left:327.361359pt;margin-top:-97.121185pt;width:4.650pt;height:5.85pt;mso-position-horizontal-relative:page;mso-position-vertical-relative:paragraph;z-index:-19179008" type="#_x0000_t202" filled="false" stroked="false">
            <v:textbox inset="0,0,0,0">
              <w:txbxContent>
                <w:p>
                  <w:pPr>
                    <w:spacing w:before="0"/>
                    <w:ind w:left="0" w:right="0" w:firstLine="0"/>
                    <w:jc w:val="left"/>
                    <w:rPr>
                      <w:rFonts w:ascii="Arial"/>
                      <w:sz w:val="10"/>
                    </w:rPr>
                  </w:pPr>
                  <w:r>
                    <w:rPr>
                      <w:rFonts w:ascii="Arial"/>
                      <w:w w:val="104"/>
                      <w:sz w:val="10"/>
                    </w:rPr>
                    <w:t>%</w:t>
                  </w:r>
                </w:p>
              </w:txbxContent>
            </v:textbox>
            <w10:wrap type="none"/>
          </v:shape>
        </w:pict>
      </w:r>
      <w:r>
        <w:rPr/>
        <w:pict>
          <v:shape style="position:absolute;margin-left:337.921326pt;margin-top:-97.601181pt;width:4.650pt;height:5.85pt;mso-position-horizontal-relative:page;mso-position-vertical-relative:paragraph;z-index:-19178496" type="#_x0000_t202" filled="false" stroked="false">
            <v:textbox inset="0,0,0,0">
              <w:txbxContent>
                <w:p>
                  <w:pPr>
                    <w:spacing w:before="0"/>
                    <w:ind w:left="0" w:right="0" w:firstLine="0"/>
                    <w:jc w:val="left"/>
                    <w:rPr>
                      <w:rFonts w:ascii="Arial"/>
                      <w:sz w:val="10"/>
                    </w:rPr>
                  </w:pPr>
                  <w:r>
                    <w:rPr>
                      <w:rFonts w:ascii="Arial"/>
                      <w:w w:val="104"/>
                      <w:sz w:val="10"/>
                    </w:rPr>
                    <w:t>%</w:t>
                  </w:r>
                </w:p>
              </w:txbxContent>
            </v:textbox>
            <w10:wrap type="none"/>
          </v:shape>
        </w:pict>
      </w:r>
      <w:r>
        <w:rPr/>
        <w:t>Gráfico 2.3 - Evolución de las tasas de crecimiento de las importaciones petroleras y variaciones del PBI (en%)</w:t>
      </w:r>
    </w:p>
    <w:p>
      <w:pPr>
        <w:pStyle w:val="BodyText"/>
        <w:spacing w:before="1"/>
        <w:rPr>
          <w:b/>
          <w:sz w:val="24"/>
        </w:rPr>
      </w:pPr>
      <w:r>
        <w:rPr/>
        <w:pict>
          <v:group style="position:absolute;margin-left:132.352188pt;margin-top:16.496595pt;width:347.1pt;height:238.5pt;mso-position-horizontal-relative:page;mso-position-vertical-relative:paragraph;z-index:-15695872;mso-wrap-distance-left:0;mso-wrap-distance-right:0" coordorigin="2647,330" coordsize="6942,4770">
            <v:rect style="position:absolute;left:2652;top:334;width:6932;height:4760" filled="false" stroked="true" strokeweight=".495496pt" strokecolor="#000000">
              <v:stroke dashstyle="solid"/>
            </v:rect>
            <v:line style="position:absolute" from="3065,4775" to="7157,4775" stroked="true" strokeweight=".12pt" strokecolor="#000000">
              <v:stroke dashstyle="solid"/>
            </v:line>
            <v:shape style="position:absolute;left:3064;top:4165;width:4092;height:2" coordorigin="3065,4165" coordsize="4092,0" path="m3065,4165l3965,4165m5239,4165l7157,4165e" filled="false" stroked="true" strokeweight=".12pt" strokecolor="#000000">
              <v:path arrowok="t"/>
              <v:stroke dashstyle="solid"/>
            </v:shape>
            <v:line style="position:absolute" from="3065,3553" to="7157,3553" stroked="true" strokeweight=".12pt" strokecolor="#000000">
              <v:stroke dashstyle="solid"/>
            </v:line>
            <v:shape style="position:absolute;left:3064;top:2334;width:4092;height:2" coordorigin="3065,2334" coordsize="4092,0" path="m3065,2334l3190,2334m3281,2334l7157,2334e" filled="false" stroked="true" strokeweight=".12pt" strokecolor="#000000">
              <v:path arrowok="t"/>
              <v:stroke dashstyle="solid"/>
            </v:shape>
            <v:line style="position:absolute" from="3065,1724" to="7157,1724" stroked="true" strokeweight=".12pt" strokecolor="#000000">
              <v:stroke dashstyle="solid"/>
            </v:line>
            <v:line style="position:absolute" from="3065,1112" to="7157,1112" stroked="true" strokeweight=".12pt" strokecolor="#000000">
              <v:stroke dashstyle="solid"/>
            </v:line>
            <v:line style="position:absolute" from="3065,503" to="7157,503" stroked="true" strokeweight=".12pt" strokecolor="#000000">
              <v:stroke dashstyle="solid"/>
            </v:line>
            <v:line style="position:absolute" from="3406,503" to="3406,4775" stroked="true" strokeweight=".12pt" strokecolor="#000000">
              <v:stroke dashstyle="solid"/>
            </v:line>
            <v:line style="position:absolute" from="3749,503" to="3749,4775" stroked="true" strokeweight=".12pt" strokecolor="#000000">
              <v:stroke dashstyle="solid"/>
            </v:line>
            <v:shape style="position:absolute;left:4089;top:502;width:2;height:4272" coordorigin="4090,503" coordsize="0,4272" path="m4090,4525l4090,4775m4090,503l4090,3954e" filled="false" stroked="true" strokeweight=".12pt" strokecolor="#000000">
              <v:path arrowok="t"/>
              <v:stroke dashstyle="solid"/>
            </v:shape>
            <v:shape style="position:absolute;left:4428;top:502;width:2;height:4272" coordorigin="4428,503" coordsize="0,4272" path="m4428,4525l4428,4775m4428,503l4428,3954e" filled="false" stroked="true" strokeweight=".12pt" strokecolor="#000000">
              <v:path arrowok="t"/>
              <v:stroke dashstyle="solid"/>
            </v:shape>
            <v:shape style="position:absolute;left:4768;top:502;width:2;height:4272" coordorigin="4769,503" coordsize="0,4272" path="m4769,4525l4769,4775m4769,503l4769,3954e" filled="false" stroked="true" strokeweight=".12pt" strokecolor="#000000">
              <v:path arrowok="t"/>
              <v:stroke dashstyle="solid"/>
            </v:shape>
            <v:shape style="position:absolute;left:5112;top:502;width:2;height:4272" coordorigin="5112,503" coordsize="0,4272" path="m5112,4525l5112,4775m5112,503l5112,3954e" filled="false" stroked="true" strokeweight=".12pt" strokecolor="#000000">
              <v:path arrowok="t"/>
              <v:stroke dashstyle="solid"/>
            </v:shape>
            <v:line style="position:absolute" from="5453,503" to="5453,4775" stroked="true" strokeweight=".12pt" strokecolor="#000000">
              <v:stroke dashstyle="solid"/>
            </v:line>
            <v:line style="position:absolute" from="5794,503" to="5794,4775" stroked="true" strokeweight=".12pt" strokecolor="#000000">
              <v:stroke dashstyle="solid"/>
            </v:line>
            <v:line style="position:absolute" from="6134,503" to="6134,4775" stroked="true" strokeweight=".12pt" strokecolor="#000000">
              <v:stroke dashstyle="solid"/>
            </v:line>
            <v:line style="position:absolute" from="6478,503" to="6478,4775" stroked="true" strokeweight=".12pt" strokecolor="#000000">
              <v:stroke dashstyle="solid"/>
            </v:line>
            <v:line style="position:absolute" from="6816,503" to="6816,4775" stroked="true" strokeweight=".12pt" strokecolor="#000000">
              <v:stroke dashstyle="solid"/>
            </v:line>
            <v:line style="position:absolute" from="7157,503" to="7157,4775" stroked="true" strokeweight=".12pt" strokecolor="#000000">
              <v:stroke dashstyle="solid"/>
            </v:line>
            <v:shape style="position:absolute;left:3064;top:502;width:4093;height:4272" coordorigin="3065,503" coordsize="4093,4272" path="m3065,503l7157,503m7157,503l7157,4775m7157,4775l3065,4775m3065,4775l3065,503e" filled="false" stroked="true" strokeweight=".495841pt" strokecolor="#000000">
              <v:path arrowok="t"/>
              <v:stroke dashstyle="solid"/>
            </v:shape>
            <v:shape style="position:absolute;left:3033;top:502;width:4124;height:4272" coordorigin="3034,503" coordsize="4124,4272" path="m3065,503l3065,4775m3034,4775l3065,4775m3034,4165l3065,4165m3034,3553l3065,3553m3034,2944l3065,2944m3034,2334l3065,2334m3034,1724l3065,1724m3034,1112l3065,1112m3034,503l3065,503m3065,2944l7157,2944m3065,2977l3065,2944m3406,2977l3406,2944m3749,2977l3749,2944m4090,2977l4090,2944m4428,2977l4428,2944m4769,2977l4769,2944m5112,2977l5112,2944m5453,2977l5453,2944m5794,2977l5794,2944m6134,2977l6134,2944m6478,2977l6478,2944m6816,2977l6816,2944m7157,2977l7157,2944e" filled="false" stroked="true" strokeweight=".12pt" strokecolor="#000000">
              <v:path arrowok="t"/>
              <v:stroke dashstyle="solid"/>
            </v:shape>
            <v:shape style="position:absolute;left:3235;top:1218;width:3752;height:2984" coordorigin="3235,1218" coordsize="3752,2984" path="m3235,2305l3576,2363m3576,2363l3917,1218m3917,1218l4258,1787m4258,1787l4601,2600m4601,2600l4942,1952m4942,1952l5282,3071m5282,3071l5621,2588m5621,2588l5964,3709m5964,3709l6305,4201m6305,4201l6646,1660m6646,1660l6986,2901e" filled="false" stroked="true" strokeweight="1.487523pt" strokecolor="#00007f">
              <v:path arrowok="t"/>
              <v:stroke dashstyle="solid"/>
            </v:shape>
            <v:shape style="position:absolute;left:3235;top:1638;width:3752;height:1534" coordorigin="3235,1638" coordsize="3752,1534" path="m3235,2375l3576,2070m3576,2070l3917,1950m3917,1950l4258,2036m4258,2036l4601,1950m4601,1950l4942,1952m4942,1952l5282,2502m5282,2502l5621,2404m5621,2404l5964,3172m5964,3172l6305,2704m6305,2704l6646,1811m6646,1811l6986,1638e" filled="false" stroked="true" strokeweight="1.487523pt" strokecolor="#ff0000">
              <v:path arrowok="t"/>
              <v:stroke dashstyle="solid"/>
            </v:shape>
            <v:shape style="position:absolute;left:3189;top:2259;width:94;height:94" coordorigin="3190,2260" coordsize="94,94" path="m3235,2260l3190,2305,3235,2353,3283,2305,3235,2260xe" filled="true" fillcolor="#00007f" stroked="false">
              <v:path arrowok="t"/>
              <v:fill type="solid"/>
            </v:shape>
            <v:shape style="position:absolute;left:3189;top:2259;width:94;height:94" coordorigin="3190,2260" coordsize="94,94" path="m3235,2260l3283,2305,3235,2353,3190,2305,3235,2260xe" filled="false" stroked="true" strokeweight=".495841pt" strokecolor="#00007f">
              <v:path arrowok="t"/>
              <v:stroke dashstyle="solid"/>
            </v:shape>
            <v:shape style="position:absolute;left:3525;top:2309;width:104;height:106" type="#_x0000_t75" stroked="false">
              <v:imagedata r:id="rId14" o:title=""/>
            </v:shape>
            <v:shape style="position:absolute;left:3863;top:1167;width:106;height:104" type="#_x0000_t75" stroked="false">
              <v:imagedata r:id="rId15" o:title=""/>
            </v:shape>
            <v:shape style="position:absolute;left:4204;top:1733;width:106;height:104" type="#_x0000_t75" stroked="false">
              <v:imagedata r:id="rId16" o:title=""/>
            </v:shape>
            <v:shape style="position:absolute;left:4547;top:2547;width:106;height:106" type="#_x0000_t75" stroked="false">
              <v:imagedata r:id="rId17" o:title=""/>
            </v:shape>
            <v:shape style="position:absolute;left:4893;top:1904;width:94;height:94" coordorigin="4894,1904" coordsize="94,94" path="m4942,1904l4894,1952,4942,1998,4987,1952,4942,1904xe" filled="true" fillcolor="#00007f" stroked="false">
              <v:path arrowok="t"/>
              <v:fill type="solid"/>
            </v:shape>
            <v:shape style="position:absolute;left:4893;top:1904;width:94;height:94" coordorigin="4894,1904" coordsize="94,94" path="m4942,1904l4987,1952,4942,1998,4894,1952,4942,1904xe" filled="false" stroked="true" strokeweight=".495841pt" strokecolor="#00007f">
              <v:path arrowok="t"/>
              <v:stroke dashstyle="solid"/>
            </v:shape>
            <v:shape style="position:absolute;left:5229;top:3017;width:104;height:106" type="#_x0000_t75" stroked="false">
              <v:imagedata r:id="rId18" o:title=""/>
            </v:shape>
            <v:shape style="position:absolute;left:5570;top:2535;width:104;height:104" type="#_x0000_t75" stroked="false">
              <v:imagedata r:id="rId19" o:title=""/>
            </v:shape>
            <v:shape style="position:absolute;left:5913;top:3658;width:104;height:104" type="#_x0000_t75" stroked="false">
              <v:imagedata r:id="rId20" o:title=""/>
            </v:shape>
            <v:shape style="position:absolute;left:6251;top:4148;width:106;height:104" type="#_x0000_t75" stroked="false">
              <v:imagedata r:id="rId21" o:title=""/>
            </v:shape>
            <v:shape style="position:absolute;left:6597;top:1611;width:96;height:96" coordorigin="6598,1612" coordsize="96,96" path="m6646,1612l6598,1660,6646,1708,6694,1660,6646,1612xe" filled="true" fillcolor="#00007f" stroked="false">
              <v:path arrowok="t"/>
              <v:fill type="solid"/>
            </v:shape>
            <v:shape style="position:absolute;left:6597;top:1611;width:96;height:96" coordorigin="6598,1612" coordsize="96,96" path="m6646,1612l6694,1660,6646,1708,6598,1660,6646,1612xe" filled="false" stroked="true" strokeweight=".495841pt" strokecolor="#00007f">
              <v:path arrowok="t"/>
              <v:stroke dashstyle="solid"/>
            </v:shape>
            <v:shape style="position:absolute;left:6933;top:2847;width:106;height:104" type="#_x0000_t75" stroked="false">
              <v:imagedata r:id="rId22" o:title=""/>
            </v:shape>
            <v:rect style="position:absolute;left:3189;top:2329;width:92;height:92" filled="true" fillcolor="#ff0000" stroked="false">
              <v:fill type="solid"/>
            </v:rect>
            <v:rect style="position:absolute;left:3189;top:2329;width:92;height:92" filled="false" stroked="true" strokeweight=".495841pt" strokecolor="#ff0000">
              <v:stroke dashstyle="solid"/>
            </v:rect>
            <v:rect style="position:absolute;left:3530;top:2024;width:92;height:92" filled="true" fillcolor="#ff0000" stroked="false">
              <v:fill type="solid"/>
            </v:rect>
            <v:rect style="position:absolute;left:3530;top:2024;width:92;height:92" filled="false" stroked="true" strokeweight=".495841pt" strokecolor="#ff0000">
              <v:stroke dashstyle="solid"/>
            </v:rect>
            <v:rect style="position:absolute;left:3868;top:1902;width:94;height:92" filled="true" fillcolor="#ff0000" stroked="false">
              <v:fill type="solid"/>
            </v:rect>
            <v:rect style="position:absolute;left:3868;top:1902;width:94;height:92" filled="false" stroked="true" strokeweight=".495816pt" strokecolor="#ff0000">
              <v:stroke dashstyle="solid"/>
            </v:rect>
            <v:rect style="position:absolute;left:4209;top:1988;width:94;height:92" filled="true" fillcolor="#ff0000" stroked="false">
              <v:fill type="solid"/>
            </v:rect>
            <v:rect style="position:absolute;left:4209;top:1988;width:94;height:92" filled="false" stroked="true" strokeweight=".495816pt" strokecolor="#ff0000">
              <v:stroke dashstyle="solid"/>
            </v:rect>
            <v:rect style="position:absolute;left:4552;top:1902;width:94;height:92" filled="true" fillcolor="#ff0000" stroked="false">
              <v:fill type="solid"/>
            </v:rect>
            <v:rect style="position:absolute;left:4552;top:1902;width:94;height:92" filled="false" stroked="true" strokeweight=".495816pt" strokecolor="#ff0000">
              <v:stroke dashstyle="solid"/>
            </v:rect>
            <v:rect style="position:absolute;left:4893;top:1904;width:92;height:92" filled="true" fillcolor="#ff0000" stroked="false">
              <v:fill type="solid"/>
            </v:rect>
            <v:rect style="position:absolute;left:4893;top:1904;width:92;height:92" filled="false" stroked="true" strokeweight=".495841pt" strokecolor="#ff0000">
              <v:stroke dashstyle="solid"/>
            </v:rect>
            <v:rect style="position:absolute;left:5234;top:2454;width:92;height:92" filled="true" fillcolor="#ff0000" stroked="false">
              <v:fill type="solid"/>
            </v:rect>
            <v:rect style="position:absolute;left:5234;top:2454;width:92;height:92" filled="false" stroked="true" strokeweight=".495841pt" strokecolor="#ff0000">
              <v:stroke dashstyle="solid"/>
            </v:rect>
            <v:rect style="position:absolute;left:5575;top:2355;width:92;height:92" filled="true" fillcolor="#ff0000" stroked="false">
              <v:fill type="solid"/>
            </v:rect>
            <v:rect style="position:absolute;left:5575;top:2355;width:92;height:92" filled="false" stroked="true" strokeweight=".495841pt" strokecolor="#ff0000">
              <v:stroke dashstyle="solid"/>
            </v:rect>
            <v:rect style="position:absolute;left:5918;top:3126;width:92;height:92" filled="true" fillcolor="#ff0000" stroked="false">
              <v:fill type="solid"/>
            </v:rect>
            <v:rect style="position:absolute;left:5918;top:3126;width:92;height:92" filled="false" stroked="true" strokeweight=".495841pt" strokecolor="#ff0000">
              <v:stroke dashstyle="solid"/>
            </v:rect>
            <v:rect style="position:absolute;left:6256;top:2658;width:94;height:92" filled="true" fillcolor="#ff0000" stroked="false">
              <v:fill type="solid"/>
            </v:rect>
            <v:rect style="position:absolute;left:6256;top:2658;width:94;height:92" filled="false" stroked="true" strokeweight=".495816pt" strokecolor="#ff0000">
              <v:stroke dashstyle="solid"/>
            </v:rect>
            <v:rect style="position:absolute;left:6597;top:1762;width:94;height:94" filled="true" fillcolor="#ff0000" stroked="false">
              <v:fill type="solid"/>
            </v:rect>
            <v:rect style="position:absolute;left:6597;top:1762;width:94;height:94" filled="false" stroked="true" strokeweight=".495841pt" strokecolor="#ff0000">
              <v:stroke dashstyle="solid"/>
            </v:rect>
            <v:rect style="position:absolute;left:6938;top:1590;width:92;height:92" filled="true" fillcolor="#ff0000" stroked="false">
              <v:fill type="solid"/>
            </v:rect>
            <v:rect style="position:absolute;left:6938;top:1590;width:92;height:92" filled="false" stroked="true" strokeweight=".495841pt" strokecolor="#ff0000">
              <v:stroke dashstyle="solid"/>
            </v:rect>
            <v:rect style="position:absolute;left:7243;top:2365;width:2307;height:545" filled="false" stroked="true" strokeweight=".12pt" strokecolor="#000000">
              <v:stroke dashstyle="solid"/>
            </v:rect>
            <v:line style="position:absolute" from="7274,2435" to="7495,2435" stroked="true" strokeweight="1.48464pt" strokecolor="#00007f">
              <v:stroke dashstyle="solid"/>
            </v:line>
            <v:shape style="position:absolute;left:7351;top:2403;width:65;height:63" coordorigin="7351,2404" coordsize="65,63" path="m7385,2404l7351,2435,7385,2466,7416,2435,7385,2404xe" filled="true" fillcolor="#00007f" stroked="false">
              <v:path arrowok="t"/>
              <v:fill type="solid"/>
            </v:shape>
            <v:shape style="position:absolute;left:7351;top:2403;width:65;height:63" coordorigin="7351,2404" coordsize="65,63" path="m7385,2404l7416,2435,7385,2466,7351,2435,7385,2404xe" filled="false" stroked="true" strokeweight=".495805pt" strokecolor="#00007f">
              <v:path arrowok="t"/>
              <v:stroke dashstyle="solid"/>
            </v:shape>
            <v:line style="position:absolute" from="7274,2706" to="7495,2706" stroked="true" strokeweight="1.48464pt" strokecolor="#ff0000">
              <v:stroke dashstyle="solid"/>
            </v:line>
            <v:rect style="position:absolute;left:7351;top:2674;width:63;height:63" filled="true" fillcolor="#ff0000" stroked="false">
              <v:fill type="solid"/>
            </v:rect>
            <v:rect style="position:absolute;left:7351;top:2674;width:63;height:63" filled="false" stroked="true" strokeweight=".495841pt" strokecolor="#ff0000">
              <v:stroke dashstyle="solid"/>
            </v:rect>
            <v:rect style="position:absolute;left:2652;top:334;width:6932;height:4760" filled="false" stroked="true" strokeweight=".495496pt" strokecolor="#000000">
              <v:stroke dashstyle="solid"/>
            </v:rect>
            <v:shape style="position:absolute;left:5594;top:3464;width:879;height:1061" coordorigin="5594,3464" coordsize="879,1061" path="m6034,3464l5969,3470,5907,3487,5849,3514,5795,3550,5746,3595,5702,3647,5665,3706,5635,3771,5613,3842,5599,3917,5594,3995,5599,4073,5613,4148,5635,4218,5665,4284,5702,4343,5746,4395,5795,4440,5849,4476,5907,4503,5969,4520,6034,4525,6098,4520,6160,4503,6219,4476,6273,4440,6322,4395,6365,4343,6402,4284,6432,4218,6454,4148,6468,4073,6473,3995,6468,3917,6454,3842,6432,3771,6402,3706,6365,3647,6322,3595,6273,3550,6219,3514,6160,3487,6098,3470,6034,3464xe" filled="false" stroked="true" strokeweight=".38826pt" strokecolor="#000000">
              <v:path arrowok="t"/>
              <v:stroke dashstyle="solid"/>
            </v:shape>
            <v:rect style="position:absolute;left:3964;top:3954;width:1275;height:572" filled="false" stroked="true" strokeweight=".38826pt" strokecolor="#000000">
              <v:stroke dashstyle="solid"/>
            </v:rect>
            <v:shape style="position:absolute;left:4593;top:3757;width:1001;height:269" coordorigin="4594,3757" coordsize="1001,269" path="m5532,3966l5532,4026,5589,4000,5542,4000,5546,3997,5542,3992,5585,3992,5532,3966xm5412,3762l5412,3997,5414,4000,5532,4000,5532,3997,5419,3997,5414,3992,5419,3992,5419,3764,5414,3764,5412,3762xm5585,3992l5542,3992,5546,3997,5542,4000,5589,4000,5594,3997,5585,3992xm5419,3992l5414,3992,5419,3997,5419,3992xm5532,3992l5419,3992,5419,3997,5532,3997,5532,3992xm5414,3757l4598,3757,4594,3762,4594,3954,4598,3959,4601,3954,4601,3764,4598,3764,4601,3762,5419,3762,5414,3757xm4601,3762l4598,3764,4601,3764,4601,3762xm5412,3762l4601,3762,4601,3764,5412,3764,5412,3762xm5419,3762l5412,3762,5414,3764,5419,3764,5419,3762xe" filled="true" fillcolor="#000000" stroked="false">
              <v:path arrowok="t"/>
              <v:fill type="solid"/>
            </v:shape>
            <v:shape style="position:absolute;left:6648;top:2593;width:497;height:713" coordorigin="6648,2593" coordsize="497,713" path="m6898,2593l6787,2629,6741,2671,6702,2726,6673,2792,6655,2867,6648,2948,6655,3030,6673,3105,6702,3172,6741,3227,6787,3270,6898,3306,6954,3297,7052,3227,7091,3172,7120,3105,7138,3030,7145,2948,7138,2867,7120,2792,7091,2726,7052,2671,7006,2629,6898,2593xe" filled="false" stroked="true" strokeweight=".38826pt" strokecolor="#000000">
              <v:path arrowok="t"/>
              <v:stroke dashstyle="solid"/>
            </v:shape>
            <v:shape style="position:absolute;left:2841;top:442;width:167;height:117" type="#_x0000_t202" filled="false" stroked="false">
              <v:textbox inset="0,0,0,0">
                <w:txbxContent>
                  <w:p>
                    <w:pPr>
                      <w:spacing w:before="0"/>
                      <w:ind w:left="0" w:right="0" w:firstLine="0"/>
                      <w:jc w:val="left"/>
                      <w:rPr>
                        <w:rFonts w:ascii="Arial"/>
                        <w:sz w:val="10"/>
                      </w:rPr>
                    </w:pPr>
                    <w:r>
                      <w:rPr>
                        <w:rFonts w:ascii="Arial"/>
                        <w:w w:val="105"/>
                        <w:sz w:val="10"/>
                      </w:rPr>
                      <w:t>0.2</w:t>
                    </w:r>
                  </w:p>
                </w:txbxContent>
              </v:textbox>
              <w10:wrap type="none"/>
            </v:shape>
            <v:shape style="position:absolute;left:2786;top:1051;width:222;height:117" type="#_x0000_t202" filled="false" stroked="false">
              <v:textbox inset="0,0,0,0">
                <w:txbxContent>
                  <w:p>
                    <w:pPr>
                      <w:spacing w:before="0"/>
                      <w:ind w:left="0" w:right="0" w:firstLine="0"/>
                      <w:jc w:val="left"/>
                      <w:rPr>
                        <w:rFonts w:ascii="Arial"/>
                        <w:sz w:val="10"/>
                      </w:rPr>
                    </w:pPr>
                    <w:r>
                      <w:rPr>
                        <w:rFonts w:ascii="Arial"/>
                        <w:w w:val="105"/>
                        <w:sz w:val="10"/>
                      </w:rPr>
                      <w:t>0.15</w:t>
                    </w:r>
                  </w:p>
                </w:txbxContent>
              </v:textbox>
              <w10:wrap type="none"/>
            </v:shape>
            <v:shape style="position:absolute;left:2841;top:1663;width:167;height:117" type="#_x0000_t202" filled="false" stroked="false">
              <v:textbox inset="0,0,0,0">
                <w:txbxContent>
                  <w:p>
                    <w:pPr>
                      <w:spacing w:before="0"/>
                      <w:ind w:left="0" w:right="0" w:firstLine="0"/>
                      <w:jc w:val="left"/>
                      <w:rPr>
                        <w:rFonts w:ascii="Arial"/>
                        <w:sz w:val="10"/>
                      </w:rPr>
                    </w:pPr>
                    <w:r>
                      <w:rPr>
                        <w:rFonts w:ascii="Arial"/>
                        <w:w w:val="105"/>
                        <w:sz w:val="10"/>
                      </w:rPr>
                      <w:t>0.1</w:t>
                    </w:r>
                  </w:p>
                </w:txbxContent>
              </v:textbox>
              <w10:wrap type="none"/>
            </v:shape>
            <v:shape style="position:absolute;left:2786;top:2271;width:222;height:117" type="#_x0000_t202" filled="false" stroked="false">
              <v:textbox inset="0,0,0,0">
                <w:txbxContent>
                  <w:p>
                    <w:pPr>
                      <w:spacing w:before="0"/>
                      <w:ind w:left="0" w:right="0" w:firstLine="0"/>
                      <w:jc w:val="left"/>
                      <w:rPr>
                        <w:rFonts w:ascii="Arial"/>
                        <w:sz w:val="10"/>
                      </w:rPr>
                    </w:pPr>
                    <w:r>
                      <w:rPr>
                        <w:rFonts w:ascii="Arial"/>
                        <w:w w:val="105"/>
                        <w:sz w:val="10"/>
                      </w:rPr>
                      <w:t>0.05</w:t>
                    </w:r>
                  </w:p>
                </w:txbxContent>
              </v:textbox>
              <w10:wrap type="none"/>
            </v:shape>
            <v:shape style="position:absolute;left:2930;top:2883;width:78;height:117" type="#_x0000_t202" filled="false" stroked="false">
              <v:textbox inset="0,0,0,0">
                <w:txbxContent>
                  <w:p>
                    <w:pPr>
                      <w:spacing w:before="0"/>
                      <w:ind w:left="0" w:right="0" w:firstLine="0"/>
                      <w:jc w:val="left"/>
                      <w:rPr>
                        <w:rFonts w:ascii="Arial"/>
                        <w:sz w:val="10"/>
                      </w:rPr>
                    </w:pPr>
                    <w:r>
                      <w:rPr>
                        <w:rFonts w:ascii="Arial"/>
                        <w:w w:val="104"/>
                        <w:sz w:val="10"/>
                      </w:rPr>
                      <w:t>0</w:t>
                    </w:r>
                  </w:p>
                </w:txbxContent>
              </v:textbox>
              <w10:wrap type="none"/>
            </v:shape>
            <v:shape style="position:absolute;left:2750;top:3492;width:258;height:117" type="#_x0000_t202" filled="false" stroked="false">
              <v:textbox inset="0,0,0,0">
                <w:txbxContent>
                  <w:p>
                    <w:pPr>
                      <w:spacing w:before="0"/>
                      <w:ind w:left="0" w:right="0" w:firstLine="0"/>
                      <w:jc w:val="left"/>
                      <w:rPr>
                        <w:rFonts w:ascii="Arial"/>
                        <w:sz w:val="10"/>
                      </w:rPr>
                    </w:pPr>
                    <w:r>
                      <w:rPr>
                        <w:rFonts w:ascii="Arial"/>
                        <w:w w:val="105"/>
                        <w:sz w:val="10"/>
                      </w:rPr>
                      <w:t>-0.05</w:t>
                    </w:r>
                  </w:p>
                </w:txbxContent>
              </v:textbox>
              <w10:wrap type="none"/>
            </v:shape>
            <v:shape style="position:absolute;left:2808;top:4104;width:201;height:117" type="#_x0000_t202" filled="false" stroked="false">
              <v:textbox inset="0,0,0,0">
                <w:txbxContent>
                  <w:p>
                    <w:pPr>
                      <w:spacing w:before="0"/>
                      <w:ind w:left="0" w:right="0" w:firstLine="0"/>
                      <w:jc w:val="left"/>
                      <w:rPr>
                        <w:rFonts w:ascii="Arial"/>
                        <w:sz w:val="10"/>
                      </w:rPr>
                    </w:pPr>
                    <w:r>
                      <w:rPr>
                        <w:rFonts w:ascii="Arial"/>
                        <w:w w:val="105"/>
                        <w:sz w:val="10"/>
                      </w:rPr>
                      <w:t>-0.1</w:t>
                    </w:r>
                  </w:p>
                </w:txbxContent>
              </v:textbox>
              <w10:wrap type="none"/>
            </v:shape>
            <v:shape style="position:absolute;left:4034;top:4095;width:1158;height:249" type="#_x0000_t202" filled="false" stroked="false">
              <v:textbox inset="0,0,0,0">
                <w:txbxContent>
                  <w:p>
                    <w:pPr>
                      <w:spacing w:line="276" w:lineRule="auto" w:before="0"/>
                      <w:ind w:left="386" w:right="-5" w:hanging="387"/>
                      <w:jc w:val="left"/>
                      <w:rPr>
                        <w:rFonts w:ascii="Arial"/>
                        <w:b/>
                        <w:sz w:val="10"/>
                      </w:rPr>
                    </w:pPr>
                    <w:r>
                      <w:rPr>
                        <w:rFonts w:ascii="Arial"/>
                        <w:b/>
                        <w:w w:val="105"/>
                        <w:sz w:val="10"/>
                      </w:rPr>
                      <w:t>Efecto precio y tasa de cambio</w:t>
                    </w:r>
                  </w:p>
                </w:txbxContent>
              </v:textbox>
              <w10:wrap type="none"/>
            </v:shape>
            <v:shape style="position:absolute;left:2750;top:4714;width:258;height:117" type="#_x0000_t202" filled="false" stroked="false">
              <v:textbox inset="0,0,0,0">
                <w:txbxContent>
                  <w:p>
                    <w:pPr>
                      <w:spacing w:before="0"/>
                      <w:ind w:left="0" w:right="0" w:firstLine="0"/>
                      <w:jc w:val="left"/>
                      <w:rPr>
                        <w:rFonts w:ascii="Arial"/>
                        <w:sz w:val="10"/>
                      </w:rPr>
                    </w:pPr>
                    <w:r>
                      <w:rPr>
                        <w:rFonts w:ascii="Arial"/>
                        <w:w w:val="105"/>
                        <w:sz w:val="10"/>
                      </w:rPr>
                      <w:t>-0.15</w:t>
                    </w:r>
                  </w:p>
                </w:txbxContent>
              </v:textbox>
              <w10:wrap type="none"/>
            </v:shape>
            <v:shape style="position:absolute;left:3122;top:4863;width:4001;height:117" type="#_x0000_t202" filled="false" stroked="false">
              <v:textbox inset="0,0,0,0">
                <w:txbxContent>
                  <w:p>
                    <w:pPr>
                      <w:spacing w:before="0"/>
                      <w:ind w:left="0" w:right="0" w:firstLine="0"/>
                      <w:jc w:val="left"/>
                      <w:rPr>
                        <w:rFonts w:ascii="Arial"/>
                        <w:sz w:val="10"/>
                      </w:rPr>
                    </w:pPr>
                    <w:r>
                      <w:rPr>
                        <w:rFonts w:ascii="Arial"/>
                        <w:w w:val="105"/>
                        <w:sz w:val="10"/>
                      </w:rPr>
                      <w:t>1995 1996 1997 1998 1999 2000 2001 2002 2003 2004 2005 2006</w:t>
                    </w:r>
                  </w:p>
                </w:txbxContent>
              </v:textbox>
              <w10:wrap type="none"/>
            </v:shape>
            <v:shape style="position:absolute;left:7244;top:2366;width:2334;height:543" type="#_x0000_t202" filled="false" stroked="false">
              <v:textbox inset="0,0,0,0">
                <w:txbxContent>
                  <w:p>
                    <w:pPr>
                      <w:spacing w:line="244" w:lineRule="auto" w:before="20"/>
                      <w:ind w:left="277" w:right="0" w:firstLine="0"/>
                      <w:jc w:val="left"/>
                      <w:rPr>
                        <w:rFonts w:ascii="Arial" w:hAnsi="Arial"/>
                        <w:sz w:val="10"/>
                      </w:rPr>
                    </w:pPr>
                    <w:r>
                      <w:rPr>
                        <w:rFonts w:ascii="Arial" w:hAnsi="Arial"/>
                        <w:w w:val="105"/>
                        <w:sz w:val="10"/>
                      </w:rPr>
                      <w:t>Tasas de crecimiento del volumen de M de petróleo y derivados</w:t>
                    </w:r>
                  </w:p>
                  <w:p>
                    <w:pPr>
                      <w:spacing w:before="37"/>
                      <w:ind w:left="277" w:right="0" w:firstLine="0"/>
                      <w:jc w:val="left"/>
                      <w:rPr>
                        <w:rFonts w:ascii="Arial"/>
                        <w:sz w:val="10"/>
                      </w:rPr>
                    </w:pPr>
                    <w:r>
                      <w:rPr>
                        <w:rFonts w:ascii="Arial"/>
                        <w:w w:val="105"/>
                        <w:sz w:val="10"/>
                      </w:rPr>
                      <w:t>Tasa de crecimiento del PBI</w:t>
                    </w:r>
                  </w:p>
                </w:txbxContent>
              </v:textbox>
              <w10:wrap type="none"/>
            </v:shape>
            <w10:wrap type="topAndBottom"/>
          </v:group>
        </w:pict>
      </w:r>
    </w:p>
    <w:p>
      <w:pPr>
        <w:spacing w:before="7"/>
        <w:ind w:left="219" w:right="315" w:firstLine="0"/>
        <w:jc w:val="left"/>
        <w:rPr>
          <w:sz w:val="16"/>
        </w:rPr>
      </w:pPr>
      <w:r>
        <w:rPr>
          <w:sz w:val="16"/>
        </w:rPr>
        <w:t>Fuente: “Estudio Prospectiva de la Demanda de Energía de República Dominicana”, Fundación Bariloche, con datos del Banco Central de la República Dominicana, Agosto 2008.</w:t>
      </w:r>
    </w:p>
    <w:p>
      <w:pPr>
        <w:spacing w:after="0"/>
        <w:jc w:val="left"/>
        <w:rPr>
          <w:sz w:val="16"/>
        </w:rPr>
        <w:sectPr>
          <w:pgSz w:w="12240" w:h="15840"/>
          <w:pgMar w:header="718" w:footer="954" w:top="1500" w:bottom="1140" w:left="1220" w:right="1220"/>
        </w:sectPr>
      </w:pPr>
    </w:p>
    <w:p>
      <w:pPr>
        <w:pStyle w:val="BodyText"/>
        <w:spacing w:before="113"/>
        <w:ind w:left="219" w:right="213"/>
        <w:jc w:val="both"/>
      </w:pPr>
      <w:r>
        <w:rPr/>
        <w:t>El objetivo estratégico de incrementar la oferta de energía doméstica y disminuir la dependencia de importación se aborda mediante dos estrategias:</w:t>
      </w:r>
    </w:p>
    <w:p>
      <w:pPr>
        <w:pStyle w:val="BodyText"/>
        <w:spacing w:before="1"/>
      </w:pPr>
    </w:p>
    <w:p>
      <w:pPr>
        <w:pStyle w:val="ListParagraph"/>
        <w:numPr>
          <w:ilvl w:val="0"/>
          <w:numId w:val="9"/>
        </w:numPr>
        <w:tabs>
          <w:tab w:pos="852" w:val="left" w:leader="none"/>
        </w:tabs>
        <w:spacing w:line="296" w:lineRule="exact" w:before="0" w:after="0"/>
        <w:ind w:left="851" w:right="0" w:hanging="361"/>
        <w:jc w:val="left"/>
        <w:rPr>
          <w:b/>
          <w:i/>
          <w:sz w:val="25"/>
        </w:rPr>
      </w:pPr>
      <w:r>
        <w:rPr>
          <w:b/>
          <w:i/>
          <w:w w:val="95"/>
          <w:sz w:val="25"/>
        </w:rPr>
        <w:t>Desarrollar un programa de exploración de</w:t>
      </w:r>
      <w:r>
        <w:rPr>
          <w:b/>
          <w:i/>
          <w:spacing w:val="45"/>
          <w:w w:val="95"/>
          <w:sz w:val="25"/>
        </w:rPr>
        <w:t> </w:t>
      </w:r>
      <w:r>
        <w:rPr>
          <w:b/>
          <w:i/>
          <w:w w:val="95"/>
          <w:sz w:val="25"/>
        </w:rPr>
        <w:t>hidrocarburos</w:t>
      </w:r>
    </w:p>
    <w:p>
      <w:pPr>
        <w:pStyle w:val="ListParagraph"/>
        <w:numPr>
          <w:ilvl w:val="0"/>
          <w:numId w:val="9"/>
        </w:numPr>
        <w:tabs>
          <w:tab w:pos="852" w:val="left" w:leader="none"/>
        </w:tabs>
        <w:spacing w:line="296" w:lineRule="exact" w:before="0" w:after="0"/>
        <w:ind w:left="851" w:right="0" w:hanging="361"/>
        <w:jc w:val="left"/>
        <w:rPr>
          <w:b/>
          <w:i/>
          <w:sz w:val="25"/>
        </w:rPr>
      </w:pPr>
      <w:r>
        <w:rPr>
          <w:b/>
          <w:i/>
          <w:w w:val="95"/>
          <w:sz w:val="25"/>
        </w:rPr>
        <w:t>Desarrollar las FUENTES DE ENERGÍA RENOVABLES</w:t>
      </w:r>
      <w:r>
        <w:rPr>
          <w:b/>
          <w:i/>
          <w:spacing w:val="50"/>
          <w:w w:val="95"/>
          <w:sz w:val="25"/>
        </w:rPr>
        <w:t> </w:t>
      </w:r>
      <w:r>
        <w:rPr>
          <w:b/>
          <w:i/>
          <w:w w:val="95"/>
          <w:sz w:val="25"/>
        </w:rPr>
        <w:t>(FER)</w:t>
      </w:r>
    </w:p>
    <w:p>
      <w:pPr>
        <w:pStyle w:val="BodyText"/>
        <w:rPr>
          <w:b/>
          <w:i/>
          <w:sz w:val="30"/>
        </w:rPr>
      </w:pPr>
    </w:p>
    <w:p>
      <w:pPr>
        <w:pStyle w:val="ListParagraph"/>
        <w:numPr>
          <w:ilvl w:val="1"/>
          <w:numId w:val="10"/>
        </w:numPr>
        <w:tabs>
          <w:tab w:pos="971" w:val="left" w:leader="none"/>
          <w:tab w:pos="972" w:val="left" w:leader="none"/>
          <w:tab w:pos="3401" w:val="left" w:leader="none"/>
          <w:tab w:pos="4121" w:val="left" w:leader="none"/>
          <w:tab w:pos="6087" w:val="left" w:leader="none"/>
          <w:tab w:pos="6768" w:val="left" w:leader="none"/>
          <w:tab w:pos="9183" w:val="left" w:leader="none"/>
        </w:tabs>
        <w:spacing w:line="240" w:lineRule="auto" w:before="216" w:after="0"/>
        <w:ind w:left="928" w:right="221" w:hanging="708"/>
        <w:jc w:val="left"/>
        <w:rPr>
          <w:rFonts w:ascii="Verdana" w:hAnsi="Verdana"/>
          <w:b/>
          <w:sz w:val="26"/>
        </w:rPr>
      </w:pPr>
      <w:r>
        <w:rPr/>
        <w:tab/>
      </w:r>
      <w:r>
        <w:rPr>
          <w:rFonts w:ascii="Verdana" w:hAnsi="Verdana"/>
          <w:b/>
          <w:sz w:val="26"/>
        </w:rPr>
        <w:t>DESARROLLAR</w:t>
        <w:tab/>
        <w:t>UN</w:t>
        <w:tab/>
        <w:t>PROGRAMA</w:t>
        <w:tab/>
        <w:t>DE</w:t>
        <w:tab/>
        <w:t>EXPLORACIÓN</w:t>
        <w:tab/>
      </w:r>
      <w:r>
        <w:rPr>
          <w:rFonts w:ascii="Verdana" w:hAnsi="Verdana"/>
          <w:b/>
          <w:spacing w:val="-9"/>
          <w:sz w:val="26"/>
        </w:rPr>
        <w:t>DE </w:t>
      </w:r>
      <w:r>
        <w:rPr>
          <w:rFonts w:ascii="Verdana" w:hAnsi="Verdana"/>
          <w:b/>
          <w:sz w:val="26"/>
        </w:rPr>
        <w:t>HIDROCARBUROS</w:t>
      </w:r>
      <w:r>
        <w:rPr>
          <w:rFonts w:ascii="Verdana" w:hAnsi="Verdana"/>
          <w:b/>
          <w:sz w:val="26"/>
          <w:vertAlign w:val="superscript"/>
        </w:rPr>
        <w:t>4</w:t>
      </w:r>
    </w:p>
    <w:p>
      <w:pPr>
        <w:pStyle w:val="BodyText"/>
        <w:spacing w:before="5"/>
        <w:rPr>
          <w:rFonts w:ascii="Verdana"/>
          <w:b/>
          <w:sz w:val="26"/>
        </w:rPr>
      </w:pPr>
    </w:p>
    <w:p>
      <w:pPr>
        <w:pStyle w:val="Heading5"/>
        <w:numPr>
          <w:ilvl w:val="2"/>
          <w:numId w:val="10"/>
        </w:numPr>
        <w:tabs>
          <w:tab w:pos="1068" w:val="left" w:leader="none"/>
        </w:tabs>
        <w:spacing w:line="240" w:lineRule="auto" w:before="0" w:after="0"/>
        <w:ind w:left="1067" w:right="0" w:hanging="848"/>
        <w:jc w:val="left"/>
      </w:pPr>
      <w:bookmarkStart w:name="_TOC_250093" w:id="6"/>
      <w:r>
        <w:rPr/>
        <w:t>Situación actual de la Exploración de</w:t>
      </w:r>
      <w:r>
        <w:rPr>
          <w:spacing w:val="-10"/>
        </w:rPr>
        <w:t> </w:t>
      </w:r>
      <w:bookmarkEnd w:id="6"/>
      <w:r>
        <w:rPr/>
        <w:t>hidrocarburos</w:t>
      </w:r>
    </w:p>
    <w:p>
      <w:pPr>
        <w:pStyle w:val="BodyText"/>
        <w:spacing w:before="11"/>
        <w:rPr>
          <w:rFonts w:ascii="Verdana"/>
          <w:b/>
          <w:sz w:val="22"/>
        </w:rPr>
      </w:pPr>
    </w:p>
    <w:p>
      <w:pPr>
        <w:pStyle w:val="BodyText"/>
        <w:spacing w:before="1"/>
        <w:ind w:left="220" w:right="215" w:hanging="1"/>
        <w:jc w:val="both"/>
      </w:pPr>
      <w:r>
        <w:rPr/>
        <w:t>Aunque la actividad de exploración petrolera es antigua en República Dominicana - se han perforado unos 100 pozos exploratorios desde 1904 - y han existido descubrimientos de petróleo e hidrocarburos, aun no se han encontrado descubrimientos comerciales.</w:t>
      </w:r>
    </w:p>
    <w:p>
      <w:pPr>
        <w:pStyle w:val="BodyText"/>
        <w:spacing w:before="10"/>
        <w:rPr>
          <w:sz w:val="22"/>
        </w:rPr>
      </w:pPr>
    </w:p>
    <w:p>
      <w:pPr>
        <w:pStyle w:val="BodyText"/>
        <w:ind w:left="220" w:right="214"/>
        <w:jc w:val="both"/>
      </w:pPr>
      <w:r>
        <w:rPr/>
        <w:t>Sin embargo, de la bibliografía e informes consultados se pueden inferir los siguientes conceptos generales sobre el potencial de hidrocarburos fósiles en la República Dominicana. En el “Potencial de hidrocarburos de la República Dominicana” (Llinás – Pérez Estaún</w:t>
      </w:r>
    </w:p>
    <w:p>
      <w:pPr>
        <w:pStyle w:val="BodyText"/>
        <w:ind w:left="220"/>
        <w:jc w:val="both"/>
      </w:pPr>
      <w:r>
        <w:rPr/>
        <w:t>– 2005) se consignan algunos elementos que es oportuno poner de manifiesto</w:t>
      </w:r>
      <w:r>
        <w:rPr>
          <w:vertAlign w:val="superscript"/>
        </w:rPr>
        <w:t>5</w:t>
      </w:r>
      <w:r>
        <w:rPr>
          <w:vertAlign w:val="baseline"/>
        </w:rPr>
        <w:t>:</w:t>
      </w:r>
    </w:p>
    <w:p>
      <w:pPr>
        <w:pStyle w:val="BodyText"/>
        <w:spacing w:before="1"/>
      </w:pPr>
    </w:p>
    <w:p>
      <w:pPr>
        <w:pStyle w:val="BodyText"/>
        <w:spacing w:before="1"/>
        <w:ind w:left="220" w:right="216" w:hanging="1"/>
        <w:jc w:val="both"/>
      </w:pPr>
      <w:r>
        <w:rPr/>
        <w:t>“a) El contexto geológico de la República Dominicana parece inicialmente poco favorable para la existencia de grandes reservorios petrolíferos o campos gigantes de petróleo”.</w:t>
      </w:r>
    </w:p>
    <w:p>
      <w:pPr>
        <w:pStyle w:val="BodyText"/>
        <w:ind w:left="220" w:right="214" w:hanging="1"/>
        <w:jc w:val="both"/>
      </w:pPr>
      <w:r>
        <w:rPr/>
        <w:t>“b) No obstante las limitaciones señaladas, no hay duda de que existe un potencial petrolero en la región de la Hispaniola que ocupa la República Dominicana. Esta afirmación viene avalada por la gran abundancia de materia orgánica contenida en los sedimentos, formados en condiciones tropicales o subtropicales, la presencia de grandes masas calcáreas en gran parte de la isla y la existencia de diversos y múltiples indicios petroleros tales como pozos ya realizados, manaderos de petróleo y gas, fuentes sulfuradas,</w:t>
      </w:r>
      <w:r>
        <w:rPr>
          <w:spacing w:val="-20"/>
        </w:rPr>
        <w:t> </w:t>
      </w:r>
      <w:r>
        <w:rPr/>
        <w:t>etc.”</w:t>
      </w:r>
    </w:p>
    <w:p>
      <w:pPr>
        <w:pStyle w:val="BodyText"/>
        <w:ind w:left="220" w:right="214" w:hanging="1"/>
        <w:jc w:val="both"/>
      </w:pPr>
      <w:r>
        <w:rPr/>
        <w:t>“c) el contexto geológico indica que la potencialidad de existencia debe matizarse por la dificultad de encontrar grandes reservorios.</w:t>
      </w:r>
    </w:p>
    <w:p>
      <w:pPr>
        <w:pStyle w:val="BodyText"/>
        <w:ind w:left="220" w:right="213" w:hanging="1"/>
        <w:jc w:val="both"/>
      </w:pPr>
      <w:r>
        <w:rPr/>
        <w:t>“d) Una de las limitaciones a la hora de evaluar el potencial petrolífero de la República Dominicana es la ausencia de suficiente información geológica.”</w:t>
      </w:r>
    </w:p>
    <w:p>
      <w:pPr>
        <w:pStyle w:val="BodyText"/>
        <w:ind w:left="220" w:right="214" w:hanging="1"/>
        <w:jc w:val="both"/>
      </w:pPr>
      <w:r>
        <w:rPr/>
        <w:t>“e) En tierra, las áreas potenciales se sitúan principalmente en el Suroeste de la República. Se trata de las Cuencas de Azua, Cinturón de Peralta, Cuenca de San Juan y Cuenca de Enriquillo. Otra zona no investigada hasta el momento y de interés se situaría en la parte oriental de la República, al Sur y Este de la Cordillera Oriental (El Seibo).”</w:t>
      </w:r>
    </w:p>
    <w:p>
      <w:pPr>
        <w:pStyle w:val="BodyText"/>
        <w:ind w:left="220" w:right="213" w:hanging="1"/>
        <w:jc w:val="both"/>
      </w:pPr>
      <w:r>
        <w:rPr/>
        <w:t>“f) En la plataforma insular, cabe destacar la Cuenca de San Pedro, del margen SE de la República Dominicana (al Sur de La Romana), y el margen continental oriental de la</w:t>
      </w:r>
    </w:p>
    <w:p>
      <w:pPr>
        <w:pStyle w:val="BodyText"/>
        <w:spacing w:before="4"/>
        <w:rPr>
          <w:sz w:val="24"/>
        </w:rPr>
      </w:pPr>
      <w:r>
        <w:rPr/>
        <w:pict>
          <v:rect style="position:absolute;margin-left:72pt;margin-top:16.643772pt;width:143.999997pt;height:.72pt;mso-position-horizontal-relative:page;mso-position-vertical-relative:paragraph;z-index:-15692800;mso-wrap-distance-left:0;mso-wrap-distance-right:0" filled="true" fillcolor="#000000" stroked="false">
            <v:fill type="solid"/>
            <w10:wrap type="topAndBottom"/>
          </v:rect>
        </w:pict>
      </w:r>
    </w:p>
    <w:p>
      <w:pPr>
        <w:spacing w:before="91"/>
        <w:ind w:left="219" w:right="218" w:firstLine="0"/>
        <w:jc w:val="both"/>
        <w:rPr>
          <w:rFonts w:ascii="Verdana" w:hAnsi="Verdana"/>
          <w:sz w:val="20"/>
        </w:rPr>
      </w:pPr>
      <w:r>
        <w:rPr>
          <w:rFonts w:ascii="Verdana" w:hAnsi="Verdana"/>
          <w:sz w:val="20"/>
          <w:vertAlign w:val="superscript"/>
        </w:rPr>
        <w:t>4</w:t>
      </w:r>
      <w:r>
        <w:rPr>
          <w:rFonts w:ascii="Verdana" w:hAnsi="Verdana"/>
          <w:sz w:val="20"/>
          <w:vertAlign w:val="baseline"/>
        </w:rPr>
        <w:t> La información, análisis y lineamientos estratégicos están sustentados en el documento: </w:t>
      </w:r>
      <w:r>
        <w:rPr>
          <w:rFonts w:ascii="Verdana" w:hAnsi="Verdana"/>
          <w:b/>
          <w:sz w:val="20"/>
          <w:vertAlign w:val="baseline"/>
        </w:rPr>
        <w:t>DIAGNÓSTICO SECTOR HIDROCARBUROS, </w:t>
      </w:r>
      <w:r>
        <w:rPr>
          <w:rFonts w:ascii="Verdana" w:hAnsi="Verdana"/>
          <w:sz w:val="20"/>
          <w:vertAlign w:val="baseline"/>
        </w:rPr>
        <w:t>Jorge E. Lapeña, Enero de 2008. Este documento se incluye como anexo.</w:t>
      </w:r>
    </w:p>
    <w:p>
      <w:pPr>
        <w:pStyle w:val="ListParagraph"/>
        <w:numPr>
          <w:ilvl w:val="0"/>
          <w:numId w:val="11"/>
        </w:numPr>
        <w:tabs>
          <w:tab w:pos="384" w:val="left" w:leader="none"/>
        </w:tabs>
        <w:spacing w:line="279" w:lineRule="exact" w:before="0" w:after="0"/>
        <w:ind w:left="383" w:right="0" w:hanging="165"/>
        <w:jc w:val="left"/>
        <w:rPr>
          <w:rFonts w:ascii="Verdana" w:hAnsi="Verdana"/>
          <w:sz w:val="20"/>
        </w:rPr>
      </w:pPr>
      <w:r>
        <w:rPr>
          <w:rFonts w:ascii="Verdana" w:hAnsi="Verdana"/>
          <w:b/>
          <w:sz w:val="20"/>
        </w:rPr>
        <w:t>EL POTENCIAL DE HIDROCARBUROS DE LA REPÚBLICA DOMINICANA</w:t>
      </w:r>
      <w:r>
        <w:rPr>
          <w:rFonts w:ascii="Verdana" w:hAnsi="Verdana"/>
          <w:sz w:val="20"/>
        </w:rPr>
        <w:t>, Romeo</w:t>
      </w:r>
      <w:r>
        <w:rPr>
          <w:rFonts w:ascii="Verdana" w:hAnsi="Verdana"/>
          <w:spacing w:val="-18"/>
          <w:sz w:val="20"/>
        </w:rPr>
        <w:t> </w:t>
      </w:r>
      <w:r>
        <w:rPr>
          <w:rFonts w:ascii="Verdana" w:hAnsi="Verdana"/>
          <w:sz w:val="20"/>
        </w:rPr>
        <w:t>A.</w:t>
      </w:r>
    </w:p>
    <w:p>
      <w:pPr>
        <w:spacing w:before="9"/>
        <w:ind w:left="219" w:right="0" w:firstLine="0"/>
        <w:jc w:val="left"/>
        <w:rPr>
          <w:rFonts w:ascii="Verdana" w:hAnsi="Verdana"/>
          <w:sz w:val="20"/>
        </w:rPr>
      </w:pPr>
      <w:r>
        <w:rPr>
          <w:rFonts w:ascii="Verdana" w:hAnsi="Verdana"/>
          <w:sz w:val="20"/>
        </w:rPr>
        <w:t>Llinás – Andrés Pérez Estaúm, Nov. 2005.</w:t>
      </w:r>
    </w:p>
    <w:p>
      <w:pPr>
        <w:spacing w:after="0"/>
        <w:jc w:val="left"/>
        <w:rPr>
          <w:rFonts w:ascii="Verdana" w:hAnsi="Verdana"/>
          <w:sz w:val="20"/>
        </w:rPr>
        <w:sectPr>
          <w:pgSz w:w="12240" w:h="15840"/>
          <w:pgMar w:header="718" w:footer="954" w:top="1500" w:bottom="1140" w:left="1220" w:right="1220"/>
        </w:sectPr>
      </w:pPr>
    </w:p>
    <w:p>
      <w:pPr>
        <w:pStyle w:val="BodyText"/>
        <w:spacing w:before="113"/>
        <w:ind w:left="219" w:right="213"/>
        <w:jc w:val="both"/>
      </w:pPr>
      <w:r>
        <w:rPr/>
        <w:t>República. También la plataforma marina de la Bahía de Ocoa al Sur de Azua y la plataforma marina del noroeste del país, que corresponde a la denominada Zona del Mar de Tethys, donde han sido descubiertos los depósitos de Plataformas de</w:t>
      </w:r>
      <w:r>
        <w:rPr>
          <w:spacing w:val="-11"/>
        </w:rPr>
        <w:t> </w:t>
      </w:r>
      <w:r>
        <w:rPr/>
        <w:t>Cuba.”</w:t>
      </w:r>
    </w:p>
    <w:p>
      <w:pPr>
        <w:pStyle w:val="BodyText"/>
      </w:pPr>
    </w:p>
    <w:p>
      <w:pPr>
        <w:pStyle w:val="BodyText"/>
        <w:spacing w:before="1"/>
        <w:ind w:left="220" w:right="214"/>
        <w:jc w:val="both"/>
      </w:pPr>
      <w:r>
        <w:rPr/>
        <w:t>El trabajo realizado por la Misión Cubana en Diciembre de 2006</w:t>
      </w:r>
      <w:r>
        <w:rPr>
          <w:vertAlign w:val="superscript"/>
        </w:rPr>
        <w:t>6</w:t>
      </w:r>
      <w:r>
        <w:rPr>
          <w:vertAlign w:val="baseline"/>
        </w:rPr>
        <w:t> analizó gran cantidad de información existente en República Dominicana y produjo un conjunto de conclusiones y recomendaciones de alto valor diagnóstico respecto a la calidad de la información existente; la insuficiencia de la misma y la necesidad de su sistematización y profundización. Asimismo en el trabajo se proponen varios sistemas petroleros conceptuales.</w:t>
      </w:r>
    </w:p>
    <w:p>
      <w:pPr>
        <w:pStyle w:val="BodyText"/>
        <w:spacing w:before="11"/>
        <w:rPr>
          <w:sz w:val="22"/>
        </w:rPr>
      </w:pPr>
    </w:p>
    <w:p>
      <w:pPr>
        <w:pStyle w:val="BodyText"/>
        <w:ind w:left="220" w:right="214" w:hanging="1"/>
        <w:jc w:val="both"/>
      </w:pPr>
      <w:r>
        <w:rPr/>
        <w:t>“El trabajo afirma que existe petróleo y gas demostrado por las acumulaciones no comerciales de Maleno e Higüerito, las numerosas manifestaciones superficiales de gas y escasas de petróleo y las manifestaciones de petróleo y gas en la mayoría de los pozos perforados.”</w:t>
      </w:r>
    </w:p>
    <w:p>
      <w:pPr>
        <w:pStyle w:val="BodyText"/>
        <w:spacing w:before="2"/>
      </w:pPr>
    </w:p>
    <w:p>
      <w:pPr>
        <w:pStyle w:val="BodyText"/>
        <w:ind w:left="220" w:right="215" w:hanging="1"/>
        <w:jc w:val="both"/>
      </w:pPr>
      <w:r>
        <w:rPr/>
        <w:t>“Existen cuencas con relleno sedimentario de espesor considerable demostrado por el Mapa del basamento construido recientemente por el levantamiento magnetométrico aéreo realizado en todo el territorio por el proyecto SYSMIN.”</w:t>
      </w:r>
    </w:p>
    <w:p>
      <w:pPr>
        <w:pStyle w:val="BodyText"/>
        <w:spacing w:before="10"/>
        <w:rPr>
          <w:sz w:val="22"/>
        </w:rPr>
      </w:pPr>
    </w:p>
    <w:p>
      <w:pPr>
        <w:pStyle w:val="BodyText"/>
        <w:ind w:left="220" w:right="215" w:hanging="1"/>
        <w:jc w:val="both"/>
      </w:pPr>
      <w:r>
        <w:rPr/>
        <w:t>“Existe la posibilidad de que en la parte norte se desarrollen sedimentos asociados al margen continental de Las Bahamas, con características similares a los de Cuba.”</w:t>
      </w:r>
    </w:p>
    <w:p>
      <w:pPr>
        <w:pStyle w:val="BodyText"/>
      </w:pPr>
    </w:p>
    <w:p>
      <w:pPr>
        <w:pStyle w:val="BodyText"/>
        <w:ind w:left="220" w:right="216" w:hanging="1"/>
        <w:jc w:val="both"/>
      </w:pPr>
      <w:r>
        <w:rPr/>
        <w:t>“Existen estructuras reveladas por la sísmica cuya mayor parte responden a la componente compresiva de los movimientos ocurridos en la Hispaniola, sobre todo aquellos que están asociados con fallamiento inverso y se localizan cercanos a los bordes de las cuencas.”</w:t>
      </w:r>
    </w:p>
    <w:p>
      <w:pPr>
        <w:pStyle w:val="BodyText"/>
        <w:spacing w:before="1"/>
      </w:pPr>
    </w:p>
    <w:p>
      <w:pPr>
        <w:pStyle w:val="BodyText"/>
        <w:ind w:left="220" w:right="215" w:hanging="1"/>
        <w:jc w:val="both"/>
      </w:pPr>
      <w:r>
        <w:rPr/>
        <w:t>“Existen datos geoquímicos aislados que apuntan hacia la existencia de rocas generadoras de petróleo y de gas biogénico.”</w:t>
      </w:r>
    </w:p>
    <w:p>
      <w:pPr>
        <w:pStyle w:val="BodyText"/>
      </w:pPr>
    </w:p>
    <w:p>
      <w:pPr>
        <w:pStyle w:val="BodyText"/>
        <w:ind w:left="220" w:right="215"/>
        <w:jc w:val="both"/>
      </w:pPr>
      <w:r>
        <w:rPr/>
        <w:t>El trabajo de la Misión cubana de la Empresa Cuba-Petróleo (CUPET) propone varios Sistemas Petroleros Conceptuales (Especulativos, Hipotéticos y No Convencionales), los  que</w:t>
      </w:r>
      <w:r>
        <w:rPr>
          <w:spacing w:val="12"/>
        </w:rPr>
        <w:t> </w:t>
      </w:r>
      <w:r>
        <w:rPr/>
        <w:t>según</w:t>
      </w:r>
      <w:r>
        <w:rPr>
          <w:spacing w:val="14"/>
        </w:rPr>
        <w:t> </w:t>
      </w:r>
      <w:r>
        <w:rPr/>
        <w:t>su</w:t>
      </w:r>
      <w:r>
        <w:rPr>
          <w:spacing w:val="15"/>
        </w:rPr>
        <w:t> </w:t>
      </w:r>
      <w:r>
        <w:rPr/>
        <w:t>denominación</w:t>
      </w:r>
      <w:r>
        <w:rPr>
          <w:spacing w:val="14"/>
        </w:rPr>
        <w:t> </w:t>
      </w:r>
      <w:r>
        <w:rPr/>
        <w:t>no</w:t>
      </w:r>
      <w:r>
        <w:rPr>
          <w:spacing w:val="11"/>
        </w:rPr>
        <w:t> </w:t>
      </w:r>
      <w:r>
        <w:rPr/>
        <w:t>están</w:t>
      </w:r>
      <w:r>
        <w:rPr>
          <w:spacing w:val="14"/>
        </w:rPr>
        <w:t> </w:t>
      </w:r>
      <w:r>
        <w:rPr/>
        <w:t>demostrados.</w:t>
      </w:r>
      <w:r>
        <w:rPr>
          <w:spacing w:val="14"/>
        </w:rPr>
        <w:t> </w:t>
      </w:r>
      <w:r>
        <w:rPr/>
        <w:t>Se</w:t>
      </w:r>
      <w:r>
        <w:rPr>
          <w:spacing w:val="13"/>
        </w:rPr>
        <w:t> </w:t>
      </w:r>
      <w:r>
        <w:rPr/>
        <w:t>consideran</w:t>
      </w:r>
      <w:r>
        <w:rPr>
          <w:spacing w:val="13"/>
        </w:rPr>
        <w:t> </w:t>
      </w:r>
      <w:r>
        <w:rPr/>
        <w:t>como</w:t>
      </w:r>
      <w:r>
        <w:rPr>
          <w:spacing w:val="13"/>
        </w:rPr>
        <w:t> </w:t>
      </w:r>
      <w:r>
        <w:rPr/>
        <w:t>más</w:t>
      </w:r>
      <w:r>
        <w:rPr>
          <w:spacing w:val="11"/>
        </w:rPr>
        <w:t> </w:t>
      </w:r>
      <w:r>
        <w:rPr/>
        <w:t>importantes:</w:t>
      </w:r>
    </w:p>
    <w:p>
      <w:pPr>
        <w:pStyle w:val="BodyText"/>
        <w:ind w:left="219" w:right="214"/>
        <w:jc w:val="both"/>
      </w:pPr>
      <w:r>
        <w:rPr/>
        <w:t>1) Sistemas Petroleros de la parte norte de la República Dominicana; 2) Sistemas  Petroleros Cretácico Medio – Oligoceno/Mioceno; 3) Sistemas Petroleros  No  Convencionales de gas biogénico. Asociados a éstos, se proponen posibles “plays” o “prospectos”:</w:t>
      </w:r>
    </w:p>
    <w:p>
      <w:pPr>
        <w:pStyle w:val="BodyText"/>
        <w:spacing w:before="11"/>
        <w:rPr>
          <w:sz w:val="22"/>
        </w:rPr>
      </w:pPr>
    </w:p>
    <w:p>
      <w:pPr>
        <w:pStyle w:val="BodyText"/>
        <w:ind w:left="220" w:right="213" w:hanging="1"/>
        <w:jc w:val="both"/>
      </w:pPr>
      <w:r>
        <w:rPr/>
        <w:t>Teniendo en cuenta los resultados aportados por la evaluación preliminar, el trabajo concluye que: “se considera completamente imprescindible la elaboración de un Programa de Trabajo que permita aumentar el grado de certidumbre y confiabilidad de esta evaluación, con la finalidad de establecer el Potencial Petrolero de la República Dominicana y</w:t>
      </w:r>
      <w:r>
        <w:rPr>
          <w:spacing w:val="38"/>
        </w:rPr>
        <w:t> </w:t>
      </w:r>
      <w:r>
        <w:rPr/>
        <w:t>recomendar</w:t>
      </w:r>
      <w:r>
        <w:rPr>
          <w:spacing w:val="39"/>
        </w:rPr>
        <w:t> </w:t>
      </w:r>
      <w:r>
        <w:rPr/>
        <w:t>las</w:t>
      </w:r>
      <w:r>
        <w:rPr>
          <w:spacing w:val="36"/>
        </w:rPr>
        <w:t> </w:t>
      </w:r>
      <w:r>
        <w:rPr/>
        <w:t>Direcciones</w:t>
      </w:r>
      <w:r>
        <w:rPr>
          <w:spacing w:val="37"/>
        </w:rPr>
        <w:t> </w:t>
      </w:r>
      <w:r>
        <w:rPr/>
        <w:t>Principales</w:t>
      </w:r>
      <w:r>
        <w:rPr>
          <w:spacing w:val="38"/>
        </w:rPr>
        <w:t> </w:t>
      </w:r>
      <w:r>
        <w:rPr/>
        <w:t>de</w:t>
      </w:r>
      <w:r>
        <w:rPr>
          <w:spacing w:val="39"/>
        </w:rPr>
        <w:t> </w:t>
      </w:r>
      <w:r>
        <w:rPr/>
        <w:t>la</w:t>
      </w:r>
      <w:r>
        <w:rPr>
          <w:spacing w:val="37"/>
        </w:rPr>
        <w:t> </w:t>
      </w:r>
      <w:r>
        <w:rPr/>
        <w:t>Exploración,</w:t>
      </w:r>
      <w:r>
        <w:rPr>
          <w:spacing w:val="36"/>
        </w:rPr>
        <w:t> </w:t>
      </w:r>
      <w:r>
        <w:rPr/>
        <w:t>haciendo</w:t>
      </w:r>
      <w:r>
        <w:rPr>
          <w:spacing w:val="38"/>
        </w:rPr>
        <w:t> </w:t>
      </w:r>
      <w:r>
        <w:rPr/>
        <w:t>esta</w:t>
      </w:r>
      <w:r>
        <w:rPr>
          <w:spacing w:val="37"/>
        </w:rPr>
        <w:t> </w:t>
      </w:r>
      <w:r>
        <w:rPr/>
        <w:t>actividad</w:t>
      </w:r>
      <w:r>
        <w:rPr>
          <w:spacing w:val="38"/>
        </w:rPr>
        <w:t> </w:t>
      </w:r>
      <w:r>
        <w:rPr/>
        <w:t>más</w:t>
      </w:r>
    </w:p>
    <w:p>
      <w:pPr>
        <w:pStyle w:val="BodyText"/>
        <w:rPr>
          <w:sz w:val="12"/>
        </w:rPr>
      </w:pPr>
      <w:r>
        <w:rPr/>
        <w:pict>
          <v:rect style="position:absolute;margin-left:72pt;margin-top:9.204455pt;width:143.999997pt;height:.72pt;mso-position-horizontal-relative:page;mso-position-vertical-relative:paragraph;z-index:-15692288;mso-wrap-distance-left:0;mso-wrap-distance-right:0" filled="true" fillcolor="#000000" stroked="false">
            <v:fill type="solid"/>
            <w10:wrap type="topAndBottom"/>
          </v:rect>
        </w:pict>
      </w:r>
    </w:p>
    <w:p>
      <w:pPr>
        <w:pStyle w:val="ListParagraph"/>
        <w:numPr>
          <w:ilvl w:val="0"/>
          <w:numId w:val="11"/>
        </w:numPr>
        <w:tabs>
          <w:tab w:pos="468" w:val="left" w:leader="none"/>
        </w:tabs>
        <w:spacing w:line="244" w:lineRule="auto" w:before="56" w:after="0"/>
        <w:ind w:left="219" w:right="216" w:firstLine="0"/>
        <w:jc w:val="both"/>
        <w:rPr>
          <w:rFonts w:ascii="Verdana" w:hAnsi="Verdana"/>
          <w:sz w:val="20"/>
        </w:rPr>
      </w:pPr>
      <w:r>
        <w:rPr>
          <w:rFonts w:ascii="Verdana" w:hAnsi="Verdana"/>
          <w:b/>
          <w:sz w:val="20"/>
        </w:rPr>
        <w:t>PROGRAMA DE ASISTENCIA TÉCNICA EMPRESA ESTATAL CUBA-PETRÓLEO </w:t>
      </w:r>
      <w:r>
        <w:rPr>
          <w:rFonts w:ascii="Verdana" w:hAnsi="Verdana"/>
          <w:sz w:val="20"/>
        </w:rPr>
        <w:t>(</w:t>
      </w:r>
      <w:r>
        <w:rPr>
          <w:rFonts w:ascii="Verdana" w:hAnsi="Verdana"/>
          <w:b/>
          <w:sz w:val="20"/>
        </w:rPr>
        <w:t>CUPET) </w:t>
      </w:r>
      <w:r>
        <w:rPr>
          <w:rFonts w:ascii="Verdana" w:hAnsi="Verdana"/>
          <w:sz w:val="20"/>
        </w:rPr>
        <w:t>al Gobierno Dominicano. – Presentación ante la Comisión Bicameral Congreso Nacional – 2 Enero 2007, Ing. Romeo</w:t>
      </w:r>
      <w:r>
        <w:rPr>
          <w:rFonts w:ascii="Verdana" w:hAnsi="Verdana"/>
          <w:spacing w:val="-4"/>
          <w:sz w:val="20"/>
        </w:rPr>
        <w:t> </w:t>
      </w:r>
      <w:r>
        <w:rPr>
          <w:rFonts w:ascii="Verdana" w:hAnsi="Verdana"/>
          <w:sz w:val="20"/>
        </w:rPr>
        <w:t>Llinás.</w:t>
      </w:r>
    </w:p>
    <w:p>
      <w:pPr>
        <w:spacing w:after="0" w:line="244" w:lineRule="auto"/>
        <w:jc w:val="both"/>
        <w:rPr>
          <w:rFonts w:ascii="Verdana" w:hAnsi="Verdana"/>
          <w:sz w:val="20"/>
        </w:rPr>
        <w:sectPr>
          <w:pgSz w:w="12240" w:h="15840"/>
          <w:pgMar w:header="718" w:footer="954" w:top="1500" w:bottom="1140" w:left="1220" w:right="1220"/>
        </w:sectPr>
      </w:pPr>
    </w:p>
    <w:p>
      <w:pPr>
        <w:pStyle w:val="BodyText"/>
        <w:spacing w:before="113"/>
        <w:ind w:left="219" w:right="215"/>
        <w:jc w:val="both"/>
      </w:pPr>
      <w:r>
        <w:rPr/>
        <w:t>racional y efectiva. En base a estas conclusiones el trabajo propone un Plan de Trabajos de adquisición de información básica que permitirían dar la infraestructura de información para encarar un Plan Exploratorio ambicioso del cual República Dominicana carece.</w:t>
      </w:r>
    </w:p>
    <w:p>
      <w:pPr>
        <w:pStyle w:val="BodyText"/>
      </w:pPr>
    </w:p>
    <w:p>
      <w:pPr>
        <w:pStyle w:val="BodyText"/>
        <w:spacing w:before="1"/>
        <w:ind w:left="219" w:right="215"/>
        <w:jc w:val="both"/>
      </w:pPr>
      <w:r>
        <w:rPr/>
        <w:t>La Exploración de Petróleo en la República Dominicana se rige por lo dispuesto en la Ley 4532 sancionada en Septiembre de 1956. Al momento existen 3 (tres) contratos vigentes:</w:t>
      </w:r>
    </w:p>
    <w:p>
      <w:pPr>
        <w:pStyle w:val="BodyText"/>
        <w:spacing w:before="11"/>
        <w:rPr>
          <w:sz w:val="22"/>
        </w:rPr>
      </w:pPr>
    </w:p>
    <w:p>
      <w:pPr>
        <w:pStyle w:val="ListParagraph"/>
        <w:numPr>
          <w:ilvl w:val="1"/>
          <w:numId w:val="11"/>
        </w:numPr>
        <w:tabs>
          <w:tab w:pos="940" w:val="left" w:leader="none"/>
        </w:tabs>
        <w:spacing w:line="240" w:lineRule="auto" w:before="1" w:after="0"/>
        <w:ind w:left="939" w:right="215" w:hanging="360"/>
        <w:jc w:val="both"/>
        <w:rPr>
          <w:sz w:val="23"/>
        </w:rPr>
      </w:pPr>
      <w:r>
        <w:rPr>
          <w:sz w:val="23"/>
        </w:rPr>
        <w:t>Contrato de concesión minera para la exploración, desarrollo y producción de petróleo entre el Estado Dominicano y la Compañía Petrolera Once- Once, S.A. (1991).</w:t>
      </w:r>
    </w:p>
    <w:p>
      <w:pPr>
        <w:pStyle w:val="ListParagraph"/>
        <w:numPr>
          <w:ilvl w:val="1"/>
          <w:numId w:val="11"/>
        </w:numPr>
        <w:tabs>
          <w:tab w:pos="940" w:val="left" w:leader="none"/>
        </w:tabs>
        <w:spacing w:line="240" w:lineRule="auto" w:before="0" w:after="0"/>
        <w:ind w:left="939" w:right="215" w:hanging="360"/>
        <w:jc w:val="both"/>
        <w:rPr>
          <w:sz w:val="23"/>
        </w:rPr>
      </w:pPr>
      <w:r>
        <w:rPr>
          <w:sz w:val="23"/>
        </w:rPr>
        <w:t>Contrato de Exploración Minera. Estado Dominicano y Compañía Mobil Exploración Dominicana S.A.</w:t>
      </w:r>
      <w:r>
        <w:rPr>
          <w:spacing w:val="-2"/>
          <w:sz w:val="23"/>
        </w:rPr>
        <w:t> </w:t>
      </w:r>
      <w:r>
        <w:rPr>
          <w:sz w:val="23"/>
        </w:rPr>
        <w:t>(1991).</w:t>
      </w:r>
    </w:p>
    <w:p>
      <w:pPr>
        <w:pStyle w:val="ListParagraph"/>
        <w:numPr>
          <w:ilvl w:val="1"/>
          <w:numId w:val="11"/>
        </w:numPr>
        <w:tabs>
          <w:tab w:pos="940" w:val="left" w:leader="none"/>
        </w:tabs>
        <w:spacing w:line="240" w:lineRule="auto" w:before="1" w:after="0"/>
        <w:ind w:left="939" w:right="215" w:hanging="360"/>
        <w:jc w:val="both"/>
        <w:rPr>
          <w:sz w:val="23"/>
        </w:rPr>
      </w:pPr>
      <w:r>
        <w:rPr>
          <w:sz w:val="23"/>
        </w:rPr>
        <w:t>Contrato entre el Estado Dominicano y Maleno Oil Company C por A. sobre exploración y explotación de hidrocarburos en la región suroeste del país excluyendo la reserva natural del Lago Enriquillo</w:t>
      </w:r>
      <w:r>
        <w:rPr>
          <w:spacing w:val="-8"/>
          <w:sz w:val="23"/>
        </w:rPr>
        <w:t> </w:t>
      </w:r>
      <w:r>
        <w:rPr>
          <w:sz w:val="23"/>
        </w:rPr>
        <w:t>(1998).</w:t>
      </w:r>
    </w:p>
    <w:p>
      <w:pPr>
        <w:pStyle w:val="BodyText"/>
        <w:spacing w:before="10"/>
        <w:rPr>
          <w:sz w:val="22"/>
        </w:rPr>
      </w:pPr>
    </w:p>
    <w:p>
      <w:pPr>
        <w:pStyle w:val="BodyText"/>
        <w:ind w:left="220" w:right="213"/>
        <w:jc w:val="both"/>
      </w:pPr>
      <w:r>
        <w:rPr/>
        <w:t>Para todos los contratos han vencido sus plazos originales; al vencimiento de dichos plazos se han realizado una o más enmiendas de próximo vencimiento, sin que se produzcan resultados en la actividad exploratoria. Sin embargo, el Estado Dominicano tendrá al vencimiento de los contratos una extraordinaria oportunidad de implementar una nueva política petrolera en todo el territorio nacional recuperando la totalidad de las áreas hoy bajo</w:t>
      </w:r>
      <w:r>
        <w:rPr>
          <w:spacing w:val="-1"/>
        </w:rPr>
        <w:t> </w:t>
      </w:r>
      <w:r>
        <w:rPr/>
        <w:t>contrato.</w:t>
      </w:r>
    </w:p>
    <w:p>
      <w:pPr>
        <w:pStyle w:val="BodyText"/>
        <w:spacing w:before="1"/>
      </w:pPr>
    </w:p>
    <w:p>
      <w:pPr>
        <w:pStyle w:val="BodyText"/>
        <w:ind w:left="220" w:right="214"/>
        <w:jc w:val="both"/>
      </w:pPr>
      <w:r>
        <w:rPr/>
        <w:t>Es evidente que el ejercicio de la fiscalización por parte del Estado Dominicano sobre los Contratos de Exploración es en la práctica sumamente reducido; no se ha podido constatar que en los 16 años de operación con los Contratos de Exploración Petrolífera se haya integrado el Comité Supervisor compuesto por 3 representantes del Contratista en cada caso (Petrolera Once- Once; Maleno Oil Company; Murphin-Mobil) y 3 Representantes del Estado.</w:t>
      </w:r>
    </w:p>
    <w:p>
      <w:pPr>
        <w:pStyle w:val="BodyText"/>
        <w:spacing w:before="1"/>
      </w:pPr>
    </w:p>
    <w:p>
      <w:pPr>
        <w:pStyle w:val="BodyText"/>
        <w:ind w:left="220" w:right="213"/>
        <w:jc w:val="both"/>
      </w:pPr>
      <w:r>
        <w:rPr/>
        <w:t>Se hace impostergable que la institución que ha suscrito los Contratos de Exploración, el Ministerio de Industria y Comercio, con la colaboración de la Comisión Nacional de Energía realice una evaluación técnica profunda de los resultados obtenidos en la Exploración de Hidrocarburos que en los últimos 16 años han realizado las tres empresas concesionarias.</w:t>
      </w:r>
    </w:p>
    <w:p>
      <w:pPr>
        <w:pStyle w:val="BodyText"/>
        <w:spacing w:before="11"/>
        <w:rPr>
          <w:sz w:val="22"/>
        </w:rPr>
      </w:pPr>
    </w:p>
    <w:p>
      <w:pPr>
        <w:pStyle w:val="BodyText"/>
        <w:ind w:left="220" w:right="215"/>
        <w:jc w:val="both"/>
      </w:pPr>
      <w:r>
        <w:rPr/>
        <w:t>Conceptualmente se trata de un “Contrato de exploración a riesgo” en el cual el concesionario asume el riesgo exploratorio, con las siguientes características:</w:t>
      </w:r>
    </w:p>
    <w:p>
      <w:pPr>
        <w:pStyle w:val="BodyText"/>
        <w:spacing w:before="1"/>
      </w:pPr>
    </w:p>
    <w:p>
      <w:pPr>
        <w:pStyle w:val="ListParagraph"/>
        <w:numPr>
          <w:ilvl w:val="0"/>
          <w:numId w:val="12"/>
        </w:numPr>
        <w:tabs>
          <w:tab w:pos="940" w:val="left" w:leader="none"/>
        </w:tabs>
        <w:spacing w:line="280" w:lineRule="exact" w:before="0" w:after="0"/>
        <w:ind w:left="940" w:right="0" w:hanging="361"/>
        <w:jc w:val="both"/>
        <w:rPr>
          <w:sz w:val="23"/>
        </w:rPr>
      </w:pPr>
      <w:r>
        <w:rPr>
          <w:sz w:val="23"/>
        </w:rPr>
        <w:t>El período de exploración está subdividido en subperíodos (en total 8</w:t>
      </w:r>
      <w:r>
        <w:rPr>
          <w:spacing w:val="-13"/>
          <w:sz w:val="23"/>
        </w:rPr>
        <w:t> </w:t>
      </w:r>
      <w:r>
        <w:rPr>
          <w:sz w:val="23"/>
        </w:rPr>
        <w:t>años).</w:t>
      </w:r>
    </w:p>
    <w:p>
      <w:pPr>
        <w:pStyle w:val="ListParagraph"/>
        <w:numPr>
          <w:ilvl w:val="0"/>
          <w:numId w:val="12"/>
        </w:numPr>
        <w:tabs>
          <w:tab w:pos="940" w:val="left" w:leader="none"/>
        </w:tabs>
        <w:spacing w:line="278" w:lineRule="exact" w:before="0" w:after="0"/>
        <w:ind w:left="940" w:right="0" w:hanging="361"/>
        <w:jc w:val="both"/>
        <w:rPr>
          <w:sz w:val="23"/>
        </w:rPr>
      </w:pPr>
      <w:r>
        <w:rPr>
          <w:sz w:val="23"/>
        </w:rPr>
        <w:t>El período de Explotación comprenderá un período inicial de exploración de dos</w:t>
      </w:r>
      <w:r>
        <w:rPr>
          <w:spacing w:val="-18"/>
          <w:sz w:val="23"/>
        </w:rPr>
        <w:t> </w:t>
      </w:r>
      <w:r>
        <w:rPr>
          <w:sz w:val="23"/>
        </w:rPr>
        <w:t>(2)</w:t>
      </w:r>
    </w:p>
    <w:p>
      <w:pPr>
        <w:pStyle w:val="ListParagraph"/>
        <w:numPr>
          <w:ilvl w:val="0"/>
          <w:numId w:val="12"/>
        </w:numPr>
        <w:tabs>
          <w:tab w:pos="940" w:val="left" w:leader="none"/>
        </w:tabs>
        <w:spacing w:line="240" w:lineRule="auto" w:before="0" w:after="0"/>
        <w:ind w:left="939" w:right="214" w:hanging="360"/>
        <w:jc w:val="both"/>
        <w:rPr>
          <w:sz w:val="23"/>
        </w:rPr>
      </w:pPr>
      <w:r>
        <w:rPr>
          <w:sz w:val="23"/>
        </w:rPr>
        <w:t>años de Contrato. El Contratista tendrá el derecho a extensiones del período de exploración inicial hasta dos (2) períodos sucesivos de (1) año contrato cada uno y subsecuentemente a un (1) período de tres (3) años Contrato, siempre que haya cumplido sus obligaciones en el presente Contrato para el período entonces en curso.</w:t>
      </w:r>
    </w:p>
    <w:p>
      <w:pPr>
        <w:spacing w:after="0" w:line="240" w:lineRule="auto"/>
        <w:jc w:val="both"/>
        <w:rPr>
          <w:sz w:val="23"/>
        </w:rPr>
        <w:sectPr>
          <w:pgSz w:w="12240" w:h="15840"/>
          <w:pgMar w:header="718" w:footer="954" w:top="1500" w:bottom="1140" w:left="1220" w:right="1220"/>
        </w:sectPr>
      </w:pPr>
    </w:p>
    <w:p>
      <w:pPr>
        <w:pStyle w:val="ListParagraph"/>
        <w:numPr>
          <w:ilvl w:val="0"/>
          <w:numId w:val="12"/>
        </w:numPr>
        <w:tabs>
          <w:tab w:pos="939" w:val="left" w:leader="none"/>
          <w:tab w:pos="940" w:val="left" w:leader="none"/>
        </w:tabs>
        <w:spacing w:line="237" w:lineRule="auto" w:before="116" w:after="0"/>
        <w:ind w:left="939" w:right="215" w:hanging="360"/>
        <w:jc w:val="left"/>
        <w:rPr>
          <w:sz w:val="23"/>
        </w:rPr>
      </w:pPr>
      <w:r>
        <w:rPr>
          <w:sz w:val="23"/>
        </w:rPr>
        <w:t>Las regalías para el Estado Dominicano son variables con la producción, entre 15 y 25 % de la producción</w:t>
      </w:r>
      <w:r>
        <w:rPr>
          <w:spacing w:val="-2"/>
          <w:sz w:val="23"/>
        </w:rPr>
        <w:t> </w:t>
      </w:r>
      <w:r>
        <w:rPr>
          <w:sz w:val="23"/>
        </w:rPr>
        <w:t>bruta.</w:t>
      </w:r>
    </w:p>
    <w:p>
      <w:pPr>
        <w:pStyle w:val="ListParagraph"/>
        <w:numPr>
          <w:ilvl w:val="0"/>
          <w:numId w:val="12"/>
        </w:numPr>
        <w:tabs>
          <w:tab w:pos="939" w:val="left" w:leader="none"/>
          <w:tab w:pos="940" w:val="left" w:leader="none"/>
        </w:tabs>
        <w:spacing w:line="280" w:lineRule="exact" w:before="1" w:after="0"/>
        <w:ind w:left="940" w:right="0" w:hanging="361"/>
        <w:jc w:val="left"/>
        <w:rPr>
          <w:sz w:val="23"/>
        </w:rPr>
      </w:pPr>
      <w:r>
        <w:rPr>
          <w:sz w:val="23"/>
        </w:rPr>
        <w:t>El período de explotación tiene una duración de 32</w:t>
      </w:r>
      <w:r>
        <w:rPr>
          <w:spacing w:val="-8"/>
          <w:sz w:val="23"/>
        </w:rPr>
        <w:t> </w:t>
      </w:r>
      <w:r>
        <w:rPr>
          <w:sz w:val="23"/>
        </w:rPr>
        <w:t>años.</w:t>
      </w:r>
    </w:p>
    <w:p>
      <w:pPr>
        <w:pStyle w:val="ListParagraph"/>
        <w:numPr>
          <w:ilvl w:val="0"/>
          <w:numId w:val="12"/>
        </w:numPr>
        <w:tabs>
          <w:tab w:pos="925" w:val="left" w:leader="none"/>
          <w:tab w:pos="926" w:val="left" w:leader="none"/>
        </w:tabs>
        <w:spacing w:line="237" w:lineRule="auto" w:before="1" w:after="0"/>
        <w:ind w:left="927" w:right="612" w:hanging="348"/>
        <w:jc w:val="left"/>
        <w:rPr>
          <w:sz w:val="23"/>
        </w:rPr>
      </w:pPr>
      <w:r>
        <w:rPr>
          <w:sz w:val="23"/>
        </w:rPr>
        <w:t>El objeto de este Contrato es la exploración de petróleo en el Área del Contrato a cuenta y riesgo del Contratista</w:t>
      </w:r>
      <w:r>
        <w:rPr>
          <w:spacing w:val="-5"/>
          <w:sz w:val="23"/>
        </w:rPr>
        <w:t> </w:t>
      </w:r>
      <w:r>
        <w:rPr>
          <w:sz w:val="23"/>
        </w:rPr>
        <w:t>únicamente.</w:t>
      </w:r>
    </w:p>
    <w:p>
      <w:pPr>
        <w:pStyle w:val="ListParagraph"/>
        <w:numPr>
          <w:ilvl w:val="0"/>
          <w:numId w:val="12"/>
        </w:numPr>
        <w:tabs>
          <w:tab w:pos="939" w:val="left" w:leader="none"/>
          <w:tab w:pos="940" w:val="left" w:leader="none"/>
        </w:tabs>
        <w:spacing w:line="235" w:lineRule="auto" w:before="5" w:after="0"/>
        <w:ind w:left="939" w:right="215" w:hanging="360"/>
        <w:jc w:val="left"/>
        <w:rPr>
          <w:sz w:val="23"/>
        </w:rPr>
      </w:pPr>
      <w:r>
        <w:rPr>
          <w:sz w:val="23"/>
        </w:rPr>
        <w:t>El Contratista será el responsable frente al Estado por la Ejecución de las operaciones petroleras de conformidad con las estipulaciones del</w:t>
      </w:r>
      <w:r>
        <w:rPr>
          <w:spacing w:val="-13"/>
          <w:sz w:val="23"/>
        </w:rPr>
        <w:t> </w:t>
      </w:r>
      <w:r>
        <w:rPr>
          <w:sz w:val="23"/>
        </w:rPr>
        <w:t>Contrato.</w:t>
      </w:r>
    </w:p>
    <w:p>
      <w:pPr>
        <w:pStyle w:val="ListParagraph"/>
        <w:numPr>
          <w:ilvl w:val="0"/>
          <w:numId w:val="12"/>
        </w:numPr>
        <w:tabs>
          <w:tab w:pos="939" w:val="left" w:leader="none"/>
          <w:tab w:pos="940" w:val="left" w:leader="none"/>
        </w:tabs>
        <w:spacing w:line="237" w:lineRule="auto" w:before="6" w:after="0"/>
        <w:ind w:left="927" w:right="215" w:hanging="348"/>
        <w:jc w:val="left"/>
        <w:rPr>
          <w:sz w:val="23"/>
        </w:rPr>
      </w:pPr>
      <w:r>
        <w:rPr>
          <w:sz w:val="23"/>
        </w:rPr>
        <w:t>El Contratista no recibirá compensación por sus servicios, ni reembolso alguno por sus gastos bajo el Contrato, excepto por la proporción de petróleo del Área del Contrato a que pueda llegar a tener</w:t>
      </w:r>
      <w:r>
        <w:rPr>
          <w:spacing w:val="-2"/>
          <w:sz w:val="23"/>
        </w:rPr>
        <w:t> </w:t>
      </w:r>
      <w:r>
        <w:rPr>
          <w:sz w:val="23"/>
        </w:rPr>
        <w:t>derecho.</w:t>
      </w:r>
    </w:p>
    <w:p>
      <w:pPr>
        <w:pStyle w:val="BodyText"/>
        <w:spacing w:before="1"/>
      </w:pPr>
    </w:p>
    <w:p>
      <w:pPr>
        <w:pStyle w:val="BodyText"/>
        <w:spacing w:before="1"/>
        <w:ind w:left="219" w:right="214"/>
        <w:jc w:val="both"/>
      </w:pPr>
      <w:r>
        <w:rPr/>
        <w:t>Respecto a la infraestructura y organización en el área del conocimiento geológico, se constata una insuficiencia de recursos humanos y organizativos adecuadamente capacitados en esta área, así como la inexistencia de una Ley de Hidrocarburos actualizada que defina claramente los derechos y obligaciones de quienes se dediquen a la actividad de exploración y producción de petróleo y gas natural. lo cual representa una barrera importante para el desarrollo de una actividad</w:t>
      </w:r>
      <w:r>
        <w:rPr>
          <w:spacing w:val="-3"/>
        </w:rPr>
        <w:t> </w:t>
      </w:r>
      <w:r>
        <w:rPr/>
        <w:t>exploratoria.</w:t>
      </w:r>
    </w:p>
    <w:p>
      <w:pPr>
        <w:pStyle w:val="BodyText"/>
      </w:pPr>
    </w:p>
    <w:p>
      <w:pPr>
        <w:pStyle w:val="BodyText"/>
        <w:ind w:left="219" w:right="215"/>
        <w:jc w:val="both"/>
      </w:pPr>
      <w:r>
        <w:rPr/>
        <w:t>La inexistencia de información sistematizada y de organización institucional impide formular una política exploratoria de largo plazo. No se cuenta en República Dominicana con un Estudio básico de todas las Cuencas sedimentarias que permitan evaluar adecuadamente el potencial petrolero de cada una de las cuencas y dirigir la exploración hacia los sectores más</w:t>
      </w:r>
      <w:r>
        <w:rPr>
          <w:spacing w:val="-1"/>
        </w:rPr>
        <w:t> </w:t>
      </w:r>
      <w:r>
        <w:rPr/>
        <w:t>promisorios.</w:t>
      </w:r>
    </w:p>
    <w:p>
      <w:pPr>
        <w:pStyle w:val="BodyText"/>
        <w:rPr>
          <w:sz w:val="28"/>
        </w:rPr>
      </w:pPr>
    </w:p>
    <w:p>
      <w:pPr>
        <w:pStyle w:val="Heading5"/>
        <w:tabs>
          <w:tab w:pos="1357" w:val="left" w:leader="none"/>
        </w:tabs>
        <w:spacing w:before="219"/>
        <w:ind w:right="315"/>
      </w:pPr>
      <w:bookmarkStart w:name="_TOC_250092" w:id="7"/>
      <w:r>
        <w:rPr/>
        <w:t>2.2.2</w:t>
        <w:tab/>
        <w:tab/>
        <w:t>Programa integral de evaluación y promoción del recurso petrolero en República</w:t>
      </w:r>
      <w:r>
        <w:rPr>
          <w:spacing w:val="-2"/>
        </w:rPr>
        <w:t> </w:t>
      </w:r>
      <w:bookmarkEnd w:id="7"/>
      <w:r>
        <w:rPr/>
        <w:t>Dominicana</w:t>
      </w:r>
    </w:p>
    <w:p>
      <w:pPr>
        <w:pStyle w:val="BodyText"/>
        <w:spacing w:before="8"/>
        <w:rPr>
          <w:rFonts w:ascii="Verdana"/>
          <w:b/>
          <w:sz w:val="22"/>
        </w:rPr>
      </w:pPr>
    </w:p>
    <w:p>
      <w:pPr>
        <w:pStyle w:val="BodyText"/>
        <w:ind w:left="219" w:right="216" w:hanging="1"/>
        <w:jc w:val="both"/>
      </w:pPr>
      <w:r>
        <w:rPr/>
        <w:t>A los retos planteados arriba la política petrolera debe responder con un “PROGRAMA INTEGRAL</w:t>
      </w:r>
      <w:r>
        <w:rPr>
          <w:spacing w:val="53"/>
        </w:rPr>
        <w:t> </w:t>
      </w:r>
      <w:r>
        <w:rPr/>
        <w:t>DE</w:t>
      </w:r>
      <w:r>
        <w:rPr>
          <w:spacing w:val="54"/>
        </w:rPr>
        <w:t> </w:t>
      </w:r>
      <w:r>
        <w:rPr/>
        <w:t>EVALUACIÓN</w:t>
      </w:r>
      <w:r>
        <w:rPr>
          <w:spacing w:val="53"/>
        </w:rPr>
        <w:t> </w:t>
      </w:r>
      <w:r>
        <w:rPr/>
        <w:t>Y</w:t>
      </w:r>
      <w:r>
        <w:rPr>
          <w:spacing w:val="52"/>
        </w:rPr>
        <w:t> </w:t>
      </w:r>
      <w:r>
        <w:rPr/>
        <w:t>PROMOCIÓN</w:t>
      </w:r>
      <w:r>
        <w:rPr>
          <w:spacing w:val="51"/>
        </w:rPr>
        <w:t> </w:t>
      </w:r>
      <w:r>
        <w:rPr/>
        <w:t>DEL</w:t>
      </w:r>
      <w:r>
        <w:rPr>
          <w:spacing w:val="54"/>
        </w:rPr>
        <w:t> </w:t>
      </w:r>
      <w:r>
        <w:rPr/>
        <w:t>RECURSO</w:t>
      </w:r>
      <w:r>
        <w:rPr>
          <w:spacing w:val="54"/>
        </w:rPr>
        <w:t> </w:t>
      </w:r>
      <w:r>
        <w:rPr/>
        <w:t>PETROLERO</w:t>
      </w:r>
      <w:r>
        <w:rPr>
          <w:spacing w:val="53"/>
        </w:rPr>
        <w:t> </w:t>
      </w:r>
      <w:r>
        <w:rPr/>
        <w:t>EN</w:t>
      </w:r>
      <w:r>
        <w:rPr>
          <w:spacing w:val="51"/>
        </w:rPr>
        <w:t> </w:t>
      </w:r>
      <w:r>
        <w:rPr/>
        <w:t>REPÚBLICA</w:t>
      </w:r>
    </w:p>
    <w:p>
      <w:pPr>
        <w:pStyle w:val="BodyText"/>
        <w:spacing w:before="1"/>
        <w:ind w:left="219" w:right="216"/>
        <w:jc w:val="both"/>
      </w:pPr>
      <w:r>
        <w:rPr/>
        <w:t>DOMINICANA”, con el objetivo de iniciar el programa de exploración, el cual se enuncia a continuación:</w:t>
      </w:r>
    </w:p>
    <w:p>
      <w:pPr>
        <w:pStyle w:val="BodyText"/>
      </w:pPr>
    </w:p>
    <w:p>
      <w:pPr>
        <w:pStyle w:val="ListParagraph"/>
        <w:numPr>
          <w:ilvl w:val="0"/>
          <w:numId w:val="13"/>
        </w:numPr>
        <w:tabs>
          <w:tab w:pos="580" w:val="left" w:leader="none"/>
        </w:tabs>
        <w:spacing w:line="240" w:lineRule="auto" w:before="0" w:after="0"/>
        <w:ind w:left="579" w:right="215" w:hanging="360"/>
        <w:jc w:val="both"/>
        <w:rPr>
          <w:sz w:val="23"/>
        </w:rPr>
      </w:pPr>
      <w:r>
        <w:rPr>
          <w:sz w:val="23"/>
        </w:rPr>
        <w:t>Realizar una auditoría completa de acuerdo al texto contractual del cumplimiento de los contratos de exploración vigentes con las empresas: 1) Petrolera Once-Once (1991); 2) Compañía Mobil Exploración Dominicana (1991); 3) Maleno Oil Company</w:t>
      </w:r>
      <w:r>
        <w:rPr>
          <w:spacing w:val="-14"/>
          <w:sz w:val="23"/>
        </w:rPr>
        <w:t> </w:t>
      </w:r>
      <w:r>
        <w:rPr>
          <w:sz w:val="23"/>
        </w:rPr>
        <w:t>(1998).</w:t>
      </w:r>
    </w:p>
    <w:p>
      <w:pPr>
        <w:pStyle w:val="BodyText"/>
        <w:spacing w:before="10"/>
        <w:rPr>
          <w:sz w:val="22"/>
        </w:rPr>
      </w:pPr>
    </w:p>
    <w:p>
      <w:pPr>
        <w:pStyle w:val="ListParagraph"/>
        <w:numPr>
          <w:ilvl w:val="0"/>
          <w:numId w:val="13"/>
        </w:numPr>
        <w:tabs>
          <w:tab w:pos="580" w:val="left" w:leader="none"/>
        </w:tabs>
        <w:spacing w:line="240" w:lineRule="auto" w:before="1" w:after="0"/>
        <w:ind w:left="579" w:right="215" w:hanging="360"/>
        <w:jc w:val="both"/>
        <w:rPr>
          <w:sz w:val="23"/>
        </w:rPr>
      </w:pPr>
      <w:r>
        <w:rPr>
          <w:sz w:val="23"/>
        </w:rPr>
        <w:t>En función del resultado de la auditoría de los contratos dar por concluido los mismos al fin de los plazos contractuales. No otorgar prórrogas adicionales a dichos</w:t>
      </w:r>
      <w:r>
        <w:rPr>
          <w:spacing w:val="-19"/>
          <w:sz w:val="23"/>
        </w:rPr>
        <w:t> </w:t>
      </w:r>
      <w:r>
        <w:rPr>
          <w:sz w:val="23"/>
        </w:rPr>
        <w:t>contratos.</w:t>
      </w:r>
    </w:p>
    <w:p>
      <w:pPr>
        <w:pStyle w:val="BodyText"/>
        <w:spacing w:before="11"/>
        <w:rPr>
          <w:sz w:val="22"/>
        </w:rPr>
      </w:pPr>
    </w:p>
    <w:p>
      <w:pPr>
        <w:pStyle w:val="ListParagraph"/>
        <w:numPr>
          <w:ilvl w:val="0"/>
          <w:numId w:val="13"/>
        </w:numPr>
        <w:tabs>
          <w:tab w:pos="580" w:val="left" w:leader="none"/>
        </w:tabs>
        <w:spacing w:line="240" w:lineRule="auto" w:before="1" w:after="0"/>
        <w:ind w:left="579" w:right="215" w:hanging="360"/>
        <w:jc w:val="both"/>
        <w:rPr>
          <w:sz w:val="23"/>
        </w:rPr>
      </w:pPr>
      <w:r>
        <w:rPr>
          <w:sz w:val="23"/>
        </w:rPr>
        <w:t>Realizar la campaña de relevamiento de estudios geológicos que permitan evaluar el potencial petrolero y seleccionar áreas y objetivos exploratorios. En esencia, se trata de organizar y reprocesar la información disponible y hacer estudios de evaluación geológica regional con aerogravimetría y estudios de superficie. Se propone tomar</w:t>
      </w:r>
      <w:r>
        <w:rPr>
          <w:spacing w:val="-8"/>
          <w:sz w:val="23"/>
        </w:rPr>
        <w:t> </w:t>
      </w:r>
      <w:r>
        <w:rPr>
          <w:sz w:val="23"/>
        </w:rPr>
        <w:t>como</w:t>
      </w:r>
    </w:p>
    <w:p>
      <w:pPr>
        <w:spacing w:after="0" w:line="240" w:lineRule="auto"/>
        <w:jc w:val="both"/>
        <w:rPr>
          <w:sz w:val="23"/>
        </w:rPr>
        <w:sectPr>
          <w:pgSz w:w="12240" w:h="15840"/>
          <w:pgMar w:header="718" w:footer="954" w:top="1500" w:bottom="1140" w:left="1220" w:right="1220"/>
        </w:sectPr>
      </w:pPr>
    </w:p>
    <w:p>
      <w:pPr>
        <w:pStyle w:val="BodyText"/>
        <w:spacing w:before="113"/>
        <w:ind w:left="579"/>
      </w:pPr>
      <w:r>
        <w:rPr/>
        <w:t>base para dicho sistema la propuesta del Ministerio de Industria de Cuba. Iniciar estos estudios en fechas tempranas.</w:t>
      </w:r>
    </w:p>
    <w:p>
      <w:pPr>
        <w:pStyle w:val="BodyText"/>
      </w:pPr>
    </w:p>
    <w:p>
      <w:pPr>
        <w:pStyle w:val="ListParagraph"/>
        <w:numPr>
          <w:ilvl w:val="0"/>
          <w:numId w:val="13"/>
        </w:numPr>
        <w:tabs>
          <w:tab w:pos="580" w:val="left" w:leader="none"/>
        </w:tabs>
        <w:spacing w:line="240" w:lineRule="auto" w:before="0" w:after="0"/>
        <w:ind w:left="579" w:right="216" w:hanging="360"/>
        <w:jc w:val="both"/>
        <w:rPr>
          <w:sz w:val="23"/>
        </w:rPr>
      </w:pPr>
      <w:r>
        <w:rPr>
          <w:sz w:val="23"/>
        </w:rPr>
        <w:t>Seleccionar en función de ello las áreas y objetivos exploratorios bien definidos para ser ofertados internacionalmente. Las áreas a ser ofrecidas en una primera ronda deben corresponder a las de mayor prospección y con mayor información</w:t>
      </w:r>
      <w:r>
        <w:rPr>
          <w:spacing w:val="-11"/>
          <w:sz w:val="23"/>
        </w:rPr>
        <w:t> </w:t>
      </w:r>
      <w:r>
        <w:rPr>
          <w:sz w:val="23"/>
        </w:rPr>
        <w:t>geológica.</w:t>
      </w:r>
    </w:p>
    <w:p>
      <w:pPr>
        <w:pStyle w:val="BodyText"/>
      </w:pPr>
    </w:p>
    <w:p>
      <w:pPr>
        <w:pStyle w:val="ListParagraph"/>
        <w:numPr>
          <w:ilvl w:val="0"/>
          <w:numId w:val="13"/>
        </w:numPr>
        <w:tabs>
          <w:tab w:pos="580" w:val="left" w:leader="none"/>
        </w:tabs>
        <w:spacing w:line="240" w:lineRule="auto" w:before="0" w:after="0"/>
        <w:ind w:left="579" w:right="214" w:hanging="360"/>
        <w:jc w:val="both"/>
        <w:rPr>
          <w:sz w:val="23"/>
        </w:rPr>
      </w:pPr>
      <w:r>
        <w:rPr>
          <w:sz w:val="23"/>
        </w:rPr>
        <w:t>Reemplazar la actual Ley de Exploración de Hidrocarburos Nº 4532/56 por una Ley Moderna que fije claramente los derechos y obligaciones de los concesionarios y permisionarios. Se sugiere utilizar el Proyecto del Dip. Pelegrín Castillo Semán como base para la redacción de la nueva legislación se debe procurar adoptar la más moderna legislación petrolera disponible en la</w:t>
      </w:r>
      <w:r>
        <w:rPr>
          <w:spacing w:val="-4"/>
          <w:sz w:val="23"/>
        </w:rPr>
        <w:t> </w:t>
      </w:r>
      <w:r>
        <w:rPr>
          <w:sz w:val="23"/>
        </w:rPr>
        <w:t>región.</w:t>
      </w:r>
    </w:p>
    <w:p>
      <w:pPr>
        <w:pStyle w:val="BodyText"/>
      </w:pPr>
    </w:p>
    <w:p>
      <w:pPr>
        <w:pStyle w:val="ListParagraph"/>
        <w:numPr>
          <w:ilvl w:val="0"/>
          <w:numId w:val="13"/>
        </w:numPr>
        <w:tabs>
          <w:tab w:pos="580" w:val="left" w:leader="none"/>
        </w:tabs>
        <w:spacing w:line="240" w:lineRule="auto" w:before="0" w:after="0"/>
        <w:ind w:left="579" w:right="213" w:hanging="360"/>
        <w:jc w:val="both"/>
        <w:rPr>
          <w:sz w:val="23"/>
        </w:rPr>
      </w:pPr>
      <w:r>
        <w:rPr>
          <w:sz w:val="23"/>
        </w:rPr>
        <w:t>Elaborar un Contrato tipo de Exploración en concordancias con los lineamientos de la “Nueva Ley de Hidrocarburos”. Se usarán como antecedentes los modelos de contratos petroleros exitosos y existentes en la región’, como son los de Colombia, Perú y</w:t>
      </w:r>
      <w:r>
        <w:rPr>
          <w:spacing w:val="-23"/>
          <w:sz w:val="23"/>
        </w:rPr>
        <w:t> </w:t>
      </w:r>
      <w:r>
        <w:rPr>
          <w:sz w:val="23"/>
        </w:rPr>
        <w:t>Brasil.</w:t>
      </w:r>
    </w:p>
    <w:p>
      <w:pPr>
        <w:pStyle w:val="BodyText"/>
        <w:spacing w:before="1"/>
      </w:pPr>
    </w:p>
    <w:p>
      <w:pPr>
        <w:pStyle w:val="ListParagraph"/>
        <w:numPr>
          <w:ilvl w:val="0"/>
          <w:numId w:val="13"/>
        </w:numPr>
        <w:tabs>
          <w:tab w:pos="580" w:val="left" w:leader="none"/>
        </w:tabs>
        <w:spacing w:line="240" w:lineRule="auto" w:before="0" w:after="0"/>
        <w:ind w:left="580" w:right="0" w:hanging="360"/>
        <w:jc w:val="left"/>
        <w:rPr>
          <w:sz w:val="23"/>
        </w:rPr>
      </w:pPr>
      <w:r>
        <w:rPr>
          <w:sz w:val="23"/>
        </w:rPr>
        <w:t>Se definirá una Política</w:t>
      </w:r>
      <w:r>
        <w:rPr>
          <w:spacing w:val="-7"/>
          <w:sz w:val="23"/>
        </w:rPr>
        <w:t> </w:t>
      </w:r>
      <w:r>
        <w:rPr>
          <w:sz w:val="23"/>
        </w:rPr>
        <w:t>Exploratoria.</w:t>
      </w:r>
    </w:p>
    <w:p>
      <w:pPr>
        <w:pStyle w:val="BodyText"/>
        <w:spacing w:before="11"/>
        <w:rPr>
          <w:sz w:val="22"/>
        </w:rPr>
      </w:pPr>
    </w:p>
    <w:p>
      <w:pPr>
        <w:pStyle w:val="ListParagraph"/>
        <w:numPr>
          <w:ilvl w:val="0"/>
          <w:numId w:val="13"/>
        </w:numPr>
        <w:tabs>
          <w:tab w:pos="580" w:val="left" w:leader="none"/>
        </w:tabs>
        <w:spacing w:line="240" w:lineRule="auto" w:before="0" w:after="0"/>
        <w:ind w:left="579" w:right="214" w:hanging="360"/>
        <w:jc w:val="both"/>
        <w:rPr>
          <w:sz w:val="23"/>
        </w:rPr>
      </w:pPr>
      <w:r>
        <w:rPr>
          <w:sz w:val="23"/>
        </w:rPr>
        <w:t>Se definirá una Estrategia de promoción de “Modelo de Contrato Dominicano” y de la “Nueva Política Petrolera Dominicana”. Esta estrategia de promoción se realizará en las principales capitales petroleras mundiales: 1) Nueva York; 2) Denver Colorado; 3) Houston; 4) París; 5) Londres; 6) Calgary; 7) alguna ciudad del</w:t>
      </w:r>
      <w:r>
        <w:rPr>
          <w:spacing w:val="-10"/>
          <w:sz w:val="23"/>
        </w:rPr>
        <w:t> </w:t>
      </w:r>
      <w:r>
        <w:rPr>
          <w:sz w:val="23"/>
        </w:rPr>
        <w:t>Asia-Pacífico.</w:t>
      </w:r>
    </w:p>
    <w:p>
      <w:pPr>
        <w:pStyle w:val="BodyText"/>
        <w:spacing w:before="2"/>
      </w:pPr>
    </w:p>
    <w:p>
      <w:pPr>
        <w:pStyle w:val="ListParagraph"/>
        <w:numPr>
          <w:ilvl w:val="0"/>
          <w:numId w:val="13"/>
        </w:numPr>
        <w:tabs>
          <w:tab w:pos="580" w:val="left" w:leader="none"/>
        </w:tabs>
        <w:spacing w:line="240" w:lineRule="auto" w:before="0" w:after="0"/>
        <w:ind w:left="579" w:right="215" w:hanging="360"/>
        <w:jc w:val="both"/>
        <w:rPr>
          <w:sz w:val="23"/>
        </w:rPr>
      </w:pPr>
      <w:r>
        <w:rPr>
          <w:sz w:val="23"/>
        </w:rPr>
        <w:t>República Dominicana debería asimismo hacer las presentaciones ante Naciones Unidas reclamando la zona económica exclusiva en el mar que rodea la isla Hispaniola en concordancia con lo dispuesto en LA CONVENCION DE LAS NACIONES UNIDAS SOBRE DERECHO DEL MAR</w:t>
      </w:r>
      <w:r>
        <w:rPr>
          <w:spacing w:val="-2"/>
          <w:sz w:val="23"/>
        </w:rPr>
        <w:t> </w:t>
      </w:r>
      <w:r>
        <w:rPr>
          <w:sz w:val="23"/>
        </w:rPr>
        <w:t>(COVEMAR).</w:t>
      </w:r>
    </w:p>
    <w:p>
      <w:pPr>
        <w:pStyle w:val="BodyText"/>
        <w:spacing w:before="11"/>
        <w:rPr>
          <w:sz w:val="22"/>
        </w:rPr>
      </w:pPr>
    </w:p>
    <w:p>
      <w:pPr>
        <w:pStyle w:val="BodyText"/>
        <w:ind w:left="219"/>
      </w:pPr>
      <w:r>
        <w:rPr/>
        <w:t>De acuerdo con la Tabla 2.3, las actividades exploratorias deben iniciarse en los primeros meses de 2012.</w:t>
      </w:r>
    </w:p>
    <w:p>
      <w:pPr>
        <w:pStyle w:val="BodyText"/>
      </w:pPr>
    </w:p>
    <w:p>
      <w:pPr>
        <w:pStyle w:val="Heading9"/>
        <w:ind w:left="219"/>
      </w:pPr>
      <w:r>
        <w:rPr/>
        <w:t>Tabla 2.3 – Actividades y plazos para desarrollar el Programa integral de evaluación del recurso petrolero</w:t>
      </w:r>
    </w:p>
    <w:p>
      <w:pPr>
        <w:pStyle w:val="BodyText"/>
        <w:spacing w:before="2"/>
        <w:rPr>
          <w:b/>
        </w:rPr>
      </w:pPr>
    </w:p>
    <w:tbl>
      <w:tblPr>
        <w:tblW w:w="0" w:type="auto"/>
        <w:jc w:val="left"/>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6"/>
        <w:gridCol w:w="1275"/>
        <w:gridCol w:w="3140"/>
      </w:tblGrid>
      <w:tr>
        <w:trPr>
          <w:trHeight w:val="277" w:hRule="atLeast"/>
        </w:trPr>
        <w:tc>
          <w:tcPr>
            <w:tcW w:w="3646" w:type="dxa"/>
            <w:shd w:val="clear" w:color="auto" w:fill="BFBFBF"/>
          </w:tcPr>
          <w:p>
            <w:pPr>
              <w:pStyle w:val="TableParagraph"/>
              <w:spacing w:line="258" w:lineRule="exact"/>
              <w:ind w:left="1266" w:right="1256"/>
              <w:jc w:val="center"/>
              <w:rPr>
                <w:b/>
                <w:sz w:val="23"/>
              </w:rPr>
            </w:pPr>
            <w:r>
              <w:rPr>
                <w:b/>
                <w:sz w:val="23"/>
              </w:rPr>
              <w:t>Actividad</w:t>
            </w:r>
          </w:p>
        </w:tc>
        <w:tc>
          <w:tcPr>
            <w:tcW w:w="1275" w:type="dxa"/>
            <w:shd w:val="clear" w:color="auto" w:fill="BFBFBF"/>
          </w:tcPr>
          <w:p>
            <w:pPr>
              <w:pStyle w:val="TableParagraph"/>
              <w:spacing w:line="258" w:lineRule="exact"/>
              <w:ind w:left="210"/>
              <w:rPr>
                <w:b/>
                <w:sz w:val="23"/>
              </w:rPr>
            </w:pPr>
            <w:r>
              <w:rPr>
                <w:b/>
                <w:sz w:val="23"/>
              </w:rPr>
              <w:t>Tiempo</w:t>
            </w:r>
          </w:p>
        </w:tc>
        <w:tc>
          <w:tcPr>
            <w:tcW w:w="3140" w:type="dxa"/>
            <w:shd w:val="clear" w:color="auto" w:fill="BFBFBF"/>
          </w:tcPr>
          <w:p>
            <w:pPr>
              <w:pStyle w:val="TableParagraph"/>
              <w:spacing w:line="258" w:lineRule="exact"/>
              <w:ind w:left="896"/>
              <w:rPr>
                <w:b/>
                <w:sz w:val="23"/>
              </w:rPr>
            </w:pPr>
            <w:r>
              <w:rPr>
                <w:b/>
                <w:sz w:val="23"/>
              </w:rPr>
              <w:t>Comentario</w:t>
            </w:r>
          </w:p>
        </w:tc>
      </w:tr>
      <w:tr>
        <w:trPr>
          <w:trHeight w:val="1110" w:hRule="atLeast"/>
        </w:trPr>
        <w:tc>
          <w:tcPr>
            <w:tcW w:w="3646" w:type="dxa"/>
          </w:tcPr>
          <w:p>
            <w:pPr>
              <w:pStyle w:val="TableParagraph"/>
              <w:spacing w:line="275" w:lineRule="exact"/>
              <w:ind w:left="107"/>
              <w:rPr>
                <w:b/>
                <w:sz w:val="23"/>
              </w:rPr>
            </w:pPr>
            <w:r>
              <w:rPr>
                <w:b/>
                <w:sz w:val="23"/>
              </w:rPr>
              <w:t>Auditoría contratos actuales</w:t>
            </w:r>
          </w:p>
        </w:tc>
        <w:tc>
          <w:tcPr>
            <w:tcW w:w="1275" w:type="dxa"/>
          </w:tcPr>
          <w:p>
            <w:pPr>
              <w:pStyle w:val="TableParagraph"/>
              <w:spacing w:line="275" w:lineRule="exact"/>
              <w:ind w:left="217"/>
              <w:rPr>
                <w:sz w:val="23"/>
              </w:rPr>
            </w:pPr>
            <w:r>
              <w:rPr>
                <w:sz w:val="23"/>
              </w:rPr>
              <w:t>3 meses</w:t>
            </w:r>
          </w:p>
        </w:tc>
        <w:tc>
          <w:tcPr>
            <w:tcW w:w="3140" w:type="dxa"/>
          </w:tcPr>
          <w:p>
            <w:pPr>
              <w:pStyle w:val="TableParagraph"/>
              <w:ind w:left="106"/>
              <w:rPr>
                <w:sz w:val="23"/>
              </w:rPr>
            </w:pPr>
            <w:r>
              <w:rPr>
                <w:sz w:val="23"/>
              </w:rPr>
              <w:t>Debe concluir con la revocatoria o la</w:t>
            </w:r>
          </w:p>
          <w:p>
            <w:pPr>
              <w:pStyle w:val="TableParagraph"/>
              <w:spacing w:line="278" w:lineRule="exact" w:before="4"/>
              <w:ind w:left="106" w:right="196"/>
              <w:rPr>
                <w:sz w:val="23"/>
              </w:rPr>
            </w:pPr>
            <w:r>
              <w:rPr>
                <w:sz w:val="23"/>
              </w:rPr>
              <w:t>confirmación de actividades en firme no prorrogables.</w:t>
            </w:r>
          </w:p>
        </w:tc>
      </w:tr>
      <w:tr>
        <w:trPr>
          <w:trHeight w:val="1382" w:hRule="atLeast"/>
        </w:trPr>
        <w:tc>
          <w:tcPr>
            <w:tcW w:w="3646" w:type="dxa"/>
          </w:tcPr>
          <w:p>
            <w:pPr>
              <w:pStyle w:val="TableParagraph"/>
              <w:ind w:left="107" w:right="530"/>
              <w:rPr>
                <w:b/>
                <w:sz w:val="23"/>
              </w:rPr>
            </w:pPr>
            <w:r>
              <w:rPr>
                <w:b/>
                <w:sz w:val="23"/>
              </w:rPr>
              <w:t>Relevamiento de estudios geológicos y selección de áreas y prospectos</w:t>
            </w:r>
          </w:p>
        </w:tc>
        <w:tc>
          <w:tcPr>
            <w:tcW w:w="1275" w:type="dxa"/>
          </w:tcPr>
          <w:p>
            <w:pPr>
              <w:pStyle w:val="TableParagraph"/>
              <w:spacing w:line="271" w:lineRule="exact"/>
              <w:ind w:left="152"/>
              <w:rPr>
                <w:sz w:val="23"/>
              </w:rPr>
            </w:pPr>
            <w:r>
              <w:rPr>
                <w:sz w:val="23"/>
              </w:rPr>
              <w:t>12 meses</w:t>
            </w:r>
          </w:p>
        </w:tc>
        <w:tc>
          <w:tcPr>
            <w:tcW w:w="3140" w:type="dxa"/>
          </w:tcPr>
          <w:p>
            <w:pPr>
              <w:pStyle w:val="TableParagraph"/>
              <w:ind w:left="106" w:right="96"/>
              <w:jc w:val="both"/>
              <w:rPr>
                <w:sz w:val="23"/>
              </w:rPr>
            </w:pPr>
            <w:r>
              <w:rPr>
                <w:sz w:val="23"/>
              </w:rPr>
              <w:t>Debe concluir con la selección de las áreas de mayor    prospecto    a  </w:t>
            </w:r>
            <w:r>
              <w:rPr>
                <w:spacing w:val="71"/>
                <w:sz w:val="23"/>
              </w:rPr>
              <w:t> </w:t>
            </w:r>
            <w:r>
              <w:rPr>
                <w:sz w:val="23"/>
              </w:rPr>
              <w:t>ser</w:t>
            </w:r>
          </w:p>
          <w:p>
            <w:pPr>
              <w:pStyle w:val="TableParagraph"/>
              <w:tabs>
                <w:tab w:pos="1901" w:val="left" w:leader="none"/>
                <w:tab w:pos="2857" w:val="left" w:leader="none"/>
              </w:tabs>
              <w:spacing w:line="278" w:lineRule="exact" w:before="1"/>
              <w:ind w:left="106" w:right="96"/>
              <w:jc w:val="both"/>
              <w:rPr>
                <w:sz w:val="23"/>
              </w:rPr>
            </w:pPr>
            <w:r>
              <w:rPr>
                <w:sz w:val="23"/>
              </w:rPr>
              <w:t>ofertadas</w:t>
              <w:tab/>
              <w:t>y</w:t>
              <w:tab/>
            </w:r>
            <w:r>
              <w:rPr>
                <w:spacing w:val="-9"/>
                <w:sz w:val="23"/>
              </w:rPr>
              <w:t>el </w:t>
            </w:r>
            <w:r>
              <w:rPr>
                <w:sz w:val="23"/>
              </w:rPr>
              <w:t>procesamiento       de      </w:t>
            </w:r>
            <w:r>
              <w:rPr>
                <w:spacing w:val="5"/>
                <w:sz w:val="23"/>
              </w:rPr>
              <w:t> </w:t>
            </w:r>
            <w:r>
              <w:rPr>
                <w:sz w:val="23"/>
              </w:rPr>
              <w:t>la</w:t>
            </w:r>
          </w:p>
        </w:tc>
      </w:tr>
    </w:tbl>
    <w:p>
      <w:pPr>
        <w:spacing w:after="0" w:line="278" w:lineRule="exact"/>
        <w:jc w:val="both"/>
        <w:rPr>
          <w:sz w:val="23"/>
        </w:rPr>
        <w:sectPr>
          <w:pgSz w:w="12240" w:h="15840"/>
          <w:pgMar w:header="718" w:footer="954" w:top="1500" w:bottom="1140" w:left="1220" w:right="1220"/>
        </w:sectPr>
      </w:pPr>
    </w:p>
    <w:p>
      <w:pPr>
        <w:pStyle w:val="BodyText"/>
        <w:spacing w:before="6"/>
        <w:rPr>
          <w:b/>
          <w:sz w:val="9"/>
        </w:rPr>
      </w:pPr>
    </w:p>
    <w:tbl>
      <w:tblPr>
        <w:tblW w:w="0" w:type="auto"/>
        <w:jc w:val="left"/>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6"/>
        <w:gridCol w:w="1275"/>
        <w:gridCol w:w="3140"/>
      </w:tblGrid>
      <w:tr>
        <w:trPr>
          <w:trHeight w:val="1381" w:hRule="atLeast"/>
        </w:trPr>
        <w:tc>
          <w:tcPr>
            <w:tcW w:w="3646" w:type="dxa"/>
          </w:tcPr>
          <w:p>
            <w:pPr>
              <w:pStyle w:val="TableParagraph"/>
              <w:rPr>
                <w:rFonts w:ascii="Times New Roman"/>
                <w:sz w:val="22"/>
              </w:rPr>
            </w:pPr>
          </w:p>
        </w:tc>
        <w:tc>
          <w:tcPr>
            <w:tcW w:w="1275" w:type="dxa"/>
          </w:tcPr>
          <w:p>
            <w:pPr>
              <w:pStyle w:val="TableParagraph"/>
              <w:rPr>
                <w:rFonts w:ascii="Times New Roman"/>
                <w:sz w:val="22"/>
              </w:rPr>
            </w:pPr>
          </w:p>
        </w:tc>
        <w:tc>
          <w:tcPr>
            <w:tcW w:w="3140" w:type="dxa"/>
          </w:tcPr>
          <w:p>
            <w:pPr>
              <w:pStyle w:val="TableParagraph"/>
              <w:ind w:left="106"/>
              <w:rPr>
                <w:sz w:val="23"/>
              </w:rPr>
            </w:pPr>
            <w:r>
              <w:rPr>
                <w:sz w:val="23"/>
              </w:rPr>
              <w:t>información.</w:t>
            </w:r>
          </w:p>
        </w:tc>
      </w:tr>
      <w:tr>
        <w:trPr>
          <w:trHeight w:val="1108" w:hRule="atLeast"/>
        </w:trPr>
        <w:tc>
          <w:tcPr>
            <w:tcW w:w="3646" w:type="dxa"/>
          </w:tcPr>
          <w:p>
            <w:pPr>
              <w:pStyle w:val="TableParagraph"/>
              <w:ind w:left="107" w:right="110"/>
              <w:rPr>
                <w:b/>
                <w:sz w:val="23"/>
              </w:rPr>
            </w:pPr>
            <w:r>
              <w:rPr>
                <w:b/>
                <w:sz w:val="23"/>
              </w:rPr>
              <w:t>Elaborar la Ley de Exploración de Hidrocarburos y el Contrato tipo</w:t>
            </w:r>
            <w:r>
              <w:rPr>
                <w:b/>
                <w:spacing w:val="-4"/>
                <w:sz w:val="23"/>
              </w:rPr>
              <w:t> </w:t>
            </w:r>
            <w:r>
              <w:rPr>
                <w:b/>
                <w:sz w:val="23"/>
              </w:rPr>
              <w:t>de</w:t>
            </w:r>
          </w:p>
          <w:p>
            <w:pPr>
              <w:pStyle w:val="TableParagraph"/>
              <w:spacing w:line="258" w:lineRule="exact"/>
              <w:ind w:left="107"/>
              <w:rPr>
                <w:b/>
                <w:sz w:val="23"/>
              </w:rPr>
            </w:pPr>
            <w:r>
              <w:rPr>
                <w:b/>
                <w:sz w:val="23"/>
              </w:rPr>
              <w:t>Exploración.</w:t>
            </w:r>
          </w:p>
        </w:tc>
        <w:tc>
          <w:tcPr>
            <w:tcW w:w="1275" w:type="dxa"/>
          </w:tcPr>
          <w:p>
            <w:pPr>
              <w:pStyle w:val="TableParagraph"/>
              <w:spacing w:line="275" w:lineRule="exact"/>
              <w:ind w:left="134" w:right="127"/>
              <w:jc w:val="center"/>
              <w:rPr>
                <w:sz w:val="23"/>
              </w:rPr>
            </w:pPr>
            <w:r>
              <w:rPr>
                <w:sz w:val="23"/>
              </w:rPr>
              <w:t>12 meses</w:t>
            </w:r>
          </w:p>
        </w:tc>
        <w:tc>
          <w:tcPr>
            <w:tcW w:w="3140" w:type="dxa"/>
          </w:tcPr>
          <w:p>
            <w:pPr>
              <w:pStyle w:val="TableParagraph"/>
              <w:ind w:left="106" w:right="95"/>
              <w:jc w:val="both"/>
              <w:rPr>
                <w:sz w:val="23"/>
              </w:rPr>
            </w:pPr>
            <w:r>
              <w:rPr>
                <w:sz w:val="23"/>
              </w:rPr>
              <w:t>La Ley y el contrato deben elaborarse a la par de los estudios geológicos y</w:t>
            </w:r>
          </w:p>
          <w:p>
            <w:pPr>
              <w:pStyle w:val="TableParagraph"/>
              <w:spacing w:line="258" w:lineRule="exact"/>
              <w:ind w:left="106"/>
              <w:jc w:val="both"/>
              <w:rPr>
                <w:sz w:val="23"/>
              </w:rPr>
            </w:pPr>
            <w:r>
              <w:rPr>
                <w:sz w:val="23"/>
              </w:rPr>
              <w:t>terminar simultáneamente.</w:t>
            </w:r>
          </w:p>
        </w:tc>
      </w:tr>
      <w:tr>
        <w:trPr>
          <w:trHeight w:val="556" w:hRule="atLeast"/>
        </w:trPr>
        <w:tc>
          <w:tcPr>
            <w:tcW w:w="3646" w:type="dxa"/>
          </w:tcPr>
          <w:p>
            <w:pPr>
              <w:pStyle w:val="TableParagraph"/>
              <w:ind w:left="107"/>
              <w:rPr>
                <w:b/>
                <w:sz w:val="23"/>
              </w:rPr>
            </w:pPr>
            <w:r>
              <w:rPr>
                <w:b/>
                <w:sz w:val="23"/>
              </w:rPr>
              <w:t>Estrategia de promoción</w:t>
            </w:r>
          </w:p>
        </w:tc>
        <w:tc>
          <w:tcPr>
            <w:tcW w:w="1275" w:type="dxa"/>
          </w:tcPr>
          <w:p>
            <w:pPr>
              <w:pStyle w:val="TableParagraph"/>
              <w:ind w:left="134" w:right="127"/>
              <w:jc w:val="center"/>
              <w:rPr>
                <w:sz w:val="23"/>
              </w:rPr>
            </w:pPr>
            <w:r>
              <w:rPr>
                <w:sz w:val="23"/>
              </w:rPr>
              <w:t>12 meses</w:t>
            </w:r>
          </w:p>
        </w:tc>
        <w:tc>
          <w:tcPr>
            <w:tcW w:w="3140" w:type="dxa"/>
          </w:tcPr>
          <w:p>
            <w:pPr>
              <w:pStyle w:val="TableParagraph"/>
              <w:tabs>
                <w:tab w:pos="1611" w:val="left" w:leader="none"/>
                <w:tab w:pos="2782" w:val="left" w:leader="none"/>
              </w:tabs>
              <w:spacing w:line="276" w:lineRule="exact" w:before="9"/>
              <w:ind w:left="106" w:right="96"/>
              <w:rPr>
                <w:sz w:val="23"/>
              </w:rPr>
            </w:pPr>
            <w:r>
              <w:rPr>
                <w:sz w:val="23"/>
              </w:rPr>
              <w:t>Principales</w:t>
              <w:tab/>
              <w:t>centros</w:t>
              <w:tab/>
            </w:r>
            <w:r>
              <w:rPr>
                <w:spacing w:val="-9"/>
                <w:sz w:val="23"/>
              </w:rPr>
              <w:t>de </w:t>
            </w:r>
            <w:r>
              <w:rPr>
                <w:sz w:val="23"/>
              </w:rPr>
              <w:t>negocio</w:t>
            </w:r>
            <w:r>
              <w:rPr>
                <w:spacing w:val="-1"/>
                <w:sz w:val="23"/>
              </w:rPr>
              <w:t> </w:t>
            </w:r>
            <w:r>
              <w:rPr>
                <w:sz w:val="23"/>
              </w:rPr>
              <w:t>petroleros.</w:t>
            </w:r>
          </w:p>
        </w:tc>
      </w:tr>
      <w:tr>
        <w:trPr>
          <w:trHeight w:val="827" w:hRule="atLeast"/>
        </w:trPr>
        <w:tc>
          <w:tcPr>
            <w:tcW w:w="3646" w:type="dxa"/>
          </w:tcPr>
          <w:p>
            <w:pPr>
              <w:pStyle w:val="TableParagraph"/>
              <w:spacing w:line="271" w:lineRule="exact"/>
              <w:ind w:left="107" w:hanging="1"/>
              <w:rPr>
                <w:b/>
                <w:sz w:val="23"/>
              </w:rPr>
            </w:pPr>
            <w:r>
              <w:rPr>
                <w:b/>
                <w:sz w:val="23"/>
              </w:rPr>
              <w:t>Asignación de áreas, firma de</w:t>
            </w:r>
          </w:p>
          <w:p>
            <w:pPr>
              <w:pStyle w:val="TableParagraph"/>
              <w:tabs>
                <w:tab w:pos="1615" w:val="left" w:leader="none"/>
                <w:tab w:pos="2160" w:val="left" w:leader="none"/>
                <w:tab w:pos="3187" w:val="left" w:leader="none"/>
              </w:tabs>
              <w:spacing w:line="276" w:lineRule="exact" w:before="10"/>
              <w:ind w:left="107" w:right="96"/>
              <w:rPr>
                <w:b/>
                <w:sz w:val="23"/>
              </w:rPr>
            </w:pPr>
            <w:r>
              <w:rPr>
                <w:b/>
                <w:sz w:val="23"/>
              </w:rPr>
              <w:t>contratos</w:t>
              <w:tab/>
              <w:t>e</w:t>
              <w:tab/>
              <w:t>inicio</w:t>
              <w:tab/>
            </w:r>
            <w:r>
              <w:rPr>
                <w:b/>
                <w:spacing w:val="-7"/>
                <w:sz w:val="23"/>
              </w:rPr>
              <w:t>del </w:t>
            </w:r>
            <w:r>
              <w:rPr>
                <w:b/>
                <w:sz w:val="23"/>
              </w:rPr>
              <w:t>programa</w:t>
            </w:r>
            <w:r>
              <w:rPr>
                <w:b/>
                <w:spacing w:val="-2"/>
                <w:sz w:val="23"/>
              </w:rPr>
              <w:t> </w:t>
            </w:r>
            <w:r>
              <w:rPr>
                <w:b/>
                <w:sz w:val="23"/>
              </w:rPr>
              <w:t>exploratorio.</w:t>
            </w:r>
          </w:p>
        </w:tc>
        <w:tc>
          <w:tcPr>
            <w:tcW w:w="4415" w:type="dxa"/>
            <w:gridSpan w:val="2"/>
          </w:tcPr>
          <w:p>
            <w:pPr>
              <w:pStyle w:val="TableParagraph"/>
              <w:ind w:left="107"/>
              <w:rPr>
                <w:sz w:val="23"/>
              </w:rPr>
            </w:pPr>
            <w:r>
              <w:rPr>
                <w:sz w:val="23"/>
              </w:rPr>
              <w:t>La asignación de áreas debe iniciarse el primer trimestre de 2012.</w:t>
            </w:r>
          </w:p>
        </w:tc>
      </w:tr>
    </w:tbl>
    <w:p>
      <w:pPr>
        <w:pStyle w:val="BodyText"/>
        <w:rPr>
          <w:b/>
          <w:sz w:val="20"/>
        </w:rPr>
      </w:pPr>
    </w:p>
    <w:p>
      <w:pPr>
        <w:pStyle w:val="BodyText"/>
        <w:spacing w:before="2"/>
        <w:rPr>
          <w:b/>
          <w:sz w:val="15"/>
        </w:rPr>
      </w:pPr>
    </w:p>
    <w:p>
      <w:pPr>
        <w:pStyle w:val="ListParagraph"/>
        <w:numPr>
          <w:ilvl w:val="1"/>
          <w:numId w:val="10"/>
        </w:numPr>
        <w:tabs>
          <w:tab w:pos="772" w:val="left" w:leader="none"/>
        </w:tabs>
        <w:spacing w:line="240" w:lineRule="auto" w:before="130" w:after="0"/>
        <w:ind w:left="772" w:right="0" w:hanging="553"/>
        <w:jc w:val="left"/>
        <w:rPr>
          <w:rFonts w:ascii="Verdana" w:hAnsi="Verdana"/>
          <w:b/>
          <w:sz w:val="26"/>
        </w:rPr>
      </w:pPr>
      <w:r>
        <w:rPr>
          <w:rFonts w:ascii="Verdana" w:hAnsi="Verdana"/>
          <w:b/>
          <w:sz w:val="26"/>
        </w:rPr>
        <w:t>DESARROLLAR LAS FUENTES DE ENERGÍA</w:t>
      </w:r>
      <w:r>
        <w:rPr>
          <w:rFonts w:ascii="Verdana" w:hAnsi="Verdana"/>
          <w:b/>
          <w:spacing w:val="-5"/>
          <w:sz w:val="26"/>
        </w:rPr>
        <w:t> </w:t>
      </w:r>
      <w:r>
        <w:rPr>
          <w:rFonts w:ascii="Verdana" w:hAnsi="Verdana"/>
          <w:b/>
          <w:sz w:val="26"/>
        </w:rPr>
        <w:t>RENOVABLES</w:t>
      </w:r>
      <w:r>
        <w:rPr>
          <w:rFonts w:ascii="Verdana" w:hAnsi="Verdana"/>
          <w:b/>
          <w:sz w:val="26"/>
          <w:vertAlign w:val="superscript"/>
        </w:rPr>
        <w:t>7</w:t>
      </w:r>
    </w:p>
    <w:p>
      <w:pPr>
        <w:pStyle w:val="BodyText"/>
        <w:spacing w:before="1"/>
        <w:rPr>
          <w:rFonts w:ascii="Verdana"/>
          <w:b/>
          <w:sz w:val="26"/>
        </w:rPr>
      </w:pPr>
    </w:p>
    <w:p>
      <w:pPr>
        <w:pStyle w:val="BodyText"/>
        <w:spacing w:before="1"/>
        <w:ind w:left="220" w:right="215"/>
        <w:jc w:val="both"/>
      </w:pPr>
      <w:r>
        <w:rPr/>
        <w:t>Las FERs como tales han recibido reconocimiento especial recientemente y por tanto, las leyes que conforman el marco legal y regulatorio del sector eléctrico, el sector ambiental y la utilización de las aguas terrestres no hacen alusión específica a las FERs. La LGE (Ley General de Electricidad) es una ley orientada esencialmente al sector eléctrico convencional y la ley de Medio Ambiente no está relacionada con el desarrollo de las FERs sino que considera un marco general para el desarrollo de proyectos de diversa índole, dentro de los que se incluyen los proyectos con PCH’s.</w:t>
      </w:r>
    </w:p>
    <w:p>
      <w:pPr>
        <w:pStyle w:val="BodyText"/>
        <w:spacing w:before="1"/>
      </w:pPr>
    </w:p>
    <w:p>
      <w:pPr>
        <w:pStyle w:val="BodyText"/>
        <w:ind w:left="220" w:right="215"/>
        <w:jc w:val="both"/>
      </w:pPr>
      <w:r>
        <w:rPr/>
        <w:t>Ley 57-07, Ley de Incentivo a las Energías Renovables y Regímenes Especiales, promulgada el 7 de Mayo de 2007, constituye el marco legal básico para el desarrollo de estas fuentes, y en la actualidad se encuentra</w:t>
      </w:r>
      <w:r>
        <w:rPr>
          <w:spacing w:val="-2"/>
        </w:rPr>
        <w:t> </w:t>
      </w:r>
      <w:r>
        <w:rPr/>
        <w:t>reglamentada.</w:t>
      </w:r>
    </w:p>
    <w:p>
      <w:pPr>
        <w:pStyle w:val="BodyText"/>
        <w:spacing w:before="1"/>
      </w:pPr>
    </w:p>
    <w:p>
      <w:pPr>
        <w:pStyle w:val="BodyText"/>
        <w:ind w:left="220" w:right="215"/>
        <w:jc w:val="both"/>
      </w:pPr>
      <w:r>
        <w:rPr/>
        <w:t>La ley constituye el marco normativo y regulatorio básico para incentivar y regular el desarrollo y la inversión proyectos que aprovechen cualquier fuente de energía renovable y que procuren acogerse a dichos incentivos</w:t>
      </w:r>
    </w:p>
    <w:p>
      <w:pPr>
        <w:pStyle w:val="BodyText"/>
        <w:spacing w:before="10"/>
        <w:rPr>
          <w:sz w:val="22"/>
        </w:rPr>
      </w:pPr>
    </w:p>
    <w:p>
      <w:pPr>
        <w:pStyle w:val="BodyText"/>
        <w:ind w:left="220" w:right="214"/>
        <w:jc w:val="both"/>
      </w:pPr>
      <w:r>
        <w:rPr/>
        <w:t>Las FER se pueden clasificar en biocombustibles, energía eólica, energía solar y las demás, incluyendo en ellas las otras formas de biomasa y pequeñas centrales hidroeléctricas  (PCH).</w:t>
      </w:r>
    </w:p>
    <w:p>
      <w:pPr>
        <w:pStyle w:val="BodyText"/>
        <w:spacing w:before="1"/>
      </w:pPr>
    </w:p>
    <w:p>
      <w:pPr>
        <w:pStyle w:val="BodyText"/>
        <w:ind w:left="220" w:right="215"/>
        <w:jc w:val="both"/>
      </w:pPr>
      <w:r>
        <w:rPr/>
        <w:t>De acuerdo con el balance energético del año 2005, se considera que la producción local de energía renovable está constituida por hidroelectricidad</w:t>
      </w:r>
      <w:r>
        <w:rPr>
          <w:vertAlign w:val="superscript"/>
        </w:rPr>
        <w:t>8</w:t>
      </w:r>
      <w:r>
        <w:rPr>
          <w:vertAlign w:val="baseline"/>
        </w:rPr>
        <w:t> (42.1%), leña (27.3%), bagazo de</w:t>
      </w:r>
    </w:p>
    <w:p>
      <w:pPr>
        <w:pStyle w:val="BodyText"/>
        <w:rPr>
          <w:sz w:val="20"/>
        </w:rPr>
      </w:pPr>
    </w:p>
    <w:p>
      <w:pPr>
        <w:pStyle w:val="BodyText"/>
        <w:spacing w:before="5"/>
        <w:rPr>
          <w:sz w:val="11"/>
        </w:rPr>
      </w:pPr>
      <w:r>
        <w:rPr/>
        <w:pict>
          <v:rect style="position:absolute;margin-left:72pt;margin-top:8.882608pt;width:143.999997pt;height:.72pt;mso-position-horizontal-relative:page;mso-position-vertical-relative:paragraph;z-index:-15691776;mso-wrap-distance-left:0;mso-wrap-distance-right:0" filled="true" fillcolor="#000000" stroked="false">
            <v:fill type="solid"/>
            <w10:wrap type="topAndBottom"/>
          </v:rect>
        </w:pict>
      </w:r>
    </w:p>
    <w:p>
      <w:pPr>
        <w:spacing w:before="91"/>
        <w:ind w:left="219" w:right="219" w:firstLine="0"/>
        <w:jc w:val="both"/>
        <w:rPr>
          <w:rFonts w:ascii="Verdana" w:hAnsi="Verdana"/>
          <w:sz w:val="20"/>
        </w:rPr>
      </w:pPr>
      <w:r>
        <w:rPr>
          <w:rFonts w:ascii="Verdana" w:hAnsi="Verdana"/>
          <w:sz w:val="20"/>
          <w:vertAlign w:val="superscript"/>
        </w:rPr>
        <w:t>7</w:t>
      </w:r>
      <w:r>
        <w:rPr>
          <w:rFonts w:ascii="Verdana" w:hAnsi="Verdana"/>
          <w:sz w:val="20"/>
          <w:vertAlign w:val="baseline"/>
        </w:rPr>
        <w:t> La información, análisis y lineamientos estratégicos están sustentados en el documento: </w:t>
      </w:r>
      <w:r>
        <w:rPr>
          <w:rFonts w:ascii="Verdana" w:hAnsi="Verdana"/>
          <w:b/>
          <w:sz w:val="20"/>
          <w:vertAlign w:val="baseline"/>
        </w:rPr>
        <w:t>DIAGNÓSTICO Y DEFINICIÓN DE LÍNEAS ESTRATÉGICAS DEL SUBSECTOR FUENTES DE ENERGÍA NUEVAS Y RENOVABLES (FENR), </w:t>
      </w:r>
      <w:r>
        <w:rPr>
          <w:rFonts w:ascii="Verdana" w:hAnsi="Verdana"/>
          <w:sz w:val="20"/>
          <w:vertAlign w:val="baseline"/>
        </w:rPr>
        <w:t>Humberto Rodríguez M., Enero de 2008. Este documento se incluye como</w:t>
      </w:r>
      <w:r>
        <w:rPr>
          <w:rFonts w:ascii="Verdana" w:hAnsi="Verdana"/>
          <w:spacing w:val="-7"/>
          <w:sz w:val="20"/>
          <w:vertAlign w:val="baseline"/>
        </w:rPr>
        <w:t> </w:t>
      </w:r>
      <w:r>
        <w:rPr>
          <w:rFonts w:ascii="Verdana" w:hAnsi="Verdana"/>
          <w:sz w:val="20"/>
          <w:vertAlign w:val="baseline"/>
        </w:rPr>
        <w:t>anexo.</w:t>
      </w:r>
    </w:p>
    <w:p>
      <w:pPr>
        <w:spacing w:after="0"/>
        <w:jc w:val="both"/>
        <w:rPr>
          <w:rFonts w:ascii="Verdana" w:hAnsi="Verdana"/>
          <w:sz w:val="20"/>
        </w:rPr>
        <w:sectPr>
          <w:pgSz w:w="12240" w:h="15840"/>
          <w:pgMar w:header="718" w:footer="954" w:top="1500" w:bottom="1140" w:left="1220" w:right="1220"/>
        </w:sectPr>
      </w:pPr>
    </w:p>
    <w:p>
      <w:pPr>
        <w:pStyle w:val="BodyText"/>
        <w:spacing w:before="113"/>
        <w:ind w:left="219" w:right="214"/>
        <w:jc w:val="both"/>
      </w:pPr>
      <w:r>
        <w:rPr/>
        <w:t>caña (26.9%) y otras energías primarias (biomasa y energía solar) (3.8%). La producción de energía renovable, incluyendo la hidroelectricidad, representaba en el año 2005 cerca del 24.8% de la oferta total de</w:t>
      </w:r>
      <w:r>
        <w:rPr>
          <w:spacing w:val="-1"/>
        </w:rPr>
        <w:t> </w:t>
      </w:r>
      <w:r>
        <w:rPr/>
        <w:t>energía.</w:t>
      </w:r>
    </w:p>
    <w:p>
      <w:pPr>
        <w:pStyle w:val="BodyText"/>
      </w:pPr>
    </w:p>
    <w:p>
      <w:pPr>
        <w:pStyle w:val="BodyText"/>
        <w:spacing w:before="1"/>
        <w:ind w:left="219" w:right="213"/>
        <w:jc w:val="both"/>
      </w:pPr>
      <w:r>
        <w:rPr/>
        <w:t>El mercado para estas fuentes de energía es extraordinariamente limitado y ligado a procesos particulares. Así, los desechos de la caña de azúcar se pueden emplear para la cogeneración en los ingenios y/o destilerías de alcohol, los desechos de la  industria arrocera en la cogeneración en las plantas de secado de arroz, los desechos animales en plantas de biogás en el sector agrícola, los residuos sólidos urbanos en la generación en los rellenos sanitarios,</w:t>
      </w:r>
      <w:r>
        <w:rPr>
          <w:spacing w:val="-1"/>
        </w:rPr>
        <w:t> </w:t>
      </w:r>
      <w:r>
        <w:rPr/>
        <w:t>etc.</w:t>
      </w:r>
    </w:p>
    <w:p>
      <w:pPr>
        <w:pStyle w:val="BodyText"/>
      </w:pPr>
    </w:p>
    <w:p>
      <w:pPr>
        <w:pStyle w:val="BodyText"/>
        <w:ind w:left="219" w:right="215"/>
        <w:jc w:val="both"/>
      </w:pPr>
      <w:r>
        <w:rPr/>
        <w:t>Las fuentes renovables en general y los biocombustibles deben contribuir al logro de una economía más competitiva, con una oferta de energía menos costosa, más diversificada, más confiable y más limpia y, en consecuencia, aportan de una u otra forma al logro de otros objetivos estratégicos.</w:t>
      </w:r>
    </w:p>
    <w:p>
      <w:pPr>
        <w:pStyle w:val="BodyText"/>
        <w:spacing w:before="11"/>
        <w:rPr>
          <w:sz w:val="22"/>
        </w:rPr>
      </w:pPr>
    </w:p>
    <w:p>
      <w:pPr>
        <w:pStyle w:val="BodyText"/>
        <w:ind w:left="219"/>
        <w:jc w:val="both"/>
      </w:pPr>
      <w:r>
        <w:rPr/>
        <w:t>Las líneas estratégicas estarán concentradas en buscar el logro de los siguientes objetivos:</w:t>
      </w:r>
    </w:p>
    <w:p>
      <w:pPr>
        <w:pStyle w:val="BodyText"/>
        <w:spacing w:before="8"/>
      </w:pPr>
    </w:p>
    <w:p>
      <w:pPr>
        <w:pStyle w:val="ListParagraph"/>
        <w:numPr>
          <w:ilvl w:val="1"/>
          <w:numId w:val="13"/>
        </w:numPr>
        <w:tabs>
          <w:tab w:pos="939" w:val="left" w:leader="none"/>
          <w:tab w:pos="940" w:val="left" w:leader="none"/>
        </w:tabs>
        <w:spacing w:line="235" w:lineRule="auto" w:before="0" w:after="0"/>
        <w:ind w:left="939" w:right="215" w:hanging="360"/>
        <w:jc w:val="left"/>
        <w:rPr>
          <w:sz w:val="23"/>
        </w:rPr>
      </w:pPr>
      <w:r>
        <w:rPr>
          <w:sz w:val="23"/>
        </w:rPr>
        <w:t>Nuevas políticas orientadas explícitamente a reducir la dependencia de fuentes externas, diversificar las fuentes y sustituir</w:t>
      </w:r>
      <w:r>
        <w:rPr>
          <w:spacing w:val="-6"/>
          <w:sz w:val="23"/>
        </w:rPr>
        <w:t> </w:t>
      </w:r>
      <w:r>
        <w:rPr>
          <w:sz w:val="23"/>
        </w:rPr>
        <w:t>importaciones.</w:t>
      </w:r>
    </w:p>
    <w:p>
      <w:pPr>
        <w:pStyle w:val="ListParagraph"/>
        <w:numPr>
          <w:ilvl w:val="1"/>
          <w:numId w:val="13"/>
        </w:numPr>
        <w:tabs>
          <w:tab w:pos="939" w:val="left" w:leader="none"/>
          <w:tab w:pos="940" w:val="left" w:leader="none"/>
        </w:tabs>
        <w:spacing w:line="281" w:lineRule="exact" w:before="1" w:after="0"/>
        <w:ind w:left="939" w:right="0" w:hanging="361"/>
        <w:jc w:val="left"/>
        <w:rPr>
          <w:sz w:val="23"/>
        </w:rPr>
      </w:pPr>
      <w:r>
        <w:rPr>
          <w:sz w:val="23"/>
        </w:rPr>
        <w:t>Identificar potencial de producción y exportación de</w:t>
      </w:r>
      <w:r>
        <w:rPr>
          <w:spacing w:val="-20"/>
          <w:sz w:val="23"/>
        </w:rPr>
        <w:t> </w:t>
      </w:r>
      <w:r>
        <w:rPr>
          <w:sz w:val="23"/>
        </w:rPr>
        <w:t>Energía.</w:t>
      </w:r>
    </w:p>
    <w:p>
      <w:pPr>
        <w:pStyle w:val="ListParagraph"/>
        <w:numPr>
          <w:ilvl w:val="1"/>
          <w:numId w:val="13"/>
        </w:numPr>
        <w:tabs>
          <w:tab w:pos="939" w:val="left" w:leader="none"/>
          <w:tab w:pos="940" w:val="left" w:leader="none"/>
        </w:tabs>
        <w:spacing w:line="280" w:lineRule="exact" w:before="0" w:after="0"/>
        <w:ind w:left="939" w:right="0" w:hanging="361"/>
        <w:jc w:val="left"/>
        <w:rPr>
          <w:sz w:val="23"/>
        </w:rPr>
      </w:pPr>
      <w:r>
        <w:rPr>
          <w:sz w:val="23"/>
        </w:rPr>
        <w:t>Desarrollar la actividad agroindustrial y generar</w:t>
      </w:r>
      <w:r>
        <w:rPr>
          <w:spacing w:val="-3"/>
          <w:sz w:val="23"/>
        </w:rPr>
        <w:t> </w:t>
      </w:r>
      <w:r>
        <w:rPr>
          <w:sz w:val="23"/>
        </w:rPr>
        <w:t>empleo.</w:t>
      </w:r>
    </w:p>
    <w:p>
      <w:pPr>
        <w:pStyle w:val="ListParagraph"/>
        <w:numPr>
          <w:ilvl w:val="1"/>
          <w:numId w:val="13"/>
        </w:numPr>
        <w:tabs>
          <w:tab w:pos="939" w:val="left" w:leader="none"/>
          <w:tab w:pos="940" w:val="left" w:leader="none"/>
        </w:tabs>
        <w:spacing w:line="235" w:lineRule="auto" w:before="3" w:after="0"/>
        <w:ind w:left="939" w:right="216" w:hanging="360"/>
        <w:jc w:val="left"/>
        <w:rPr>
          <w:sz w:val="23"/>
        </w:rPr>
      </w:pPr>
      <w:r>
        <w:rPr>
          <w:sz w:val="23"/>
        </w:rPr>
        <w:t>Identificar tecnologías más eficientes y limpias, existentes o en proceso de entrar al mercado.</w:t>
      </w:r>
    </w:p>
    <w:p>
      <w:pPr>
        <w:pStyle w:val="BodyText"/>
        <w:spacing w:before="1"/>
      </w:pPr>
    </w:p>
    <w:p>
      <w:pPr>
        <w:spacing w:before="0"/>
        <w:ind w:left="219" w:right="217" w:hanging="1"/>
        <w:jc w:val="both"/>
        <w:rPr>
          <w:rFonts w:ascii="Verdana" w:hAnsi="Verdana"/>
          <w:sz w:val="22"/>
        </w:rPr>
      </w:pPr>
      <w:r>
        <w:rPr>
          <w:sz w:val="23"/>
        </w:rPr>
        <w:t>Los lineamientos estratégicos se presentarán en su orden para los biocombustibles, </w:t>
      </w:r>
      <w:r>
        <w:rPr>
          <w:rFonts w:ascii="Verdana" w:hAnsi="Verdana"/>
          <w:sz w:val="22"/>
        </w:rPr>
        <w:t>la energía eólica, solar y otras FERs. Finalmente se abordarán los temas institucionales.</w:t>
      </w:r>
    </w:p>
    <w:p>
      <w:pPr>
        <w:pStyle w:val="BodyText"/>
        <w:rPr>
          <w:rFonts w:ascii="Verdana"/>
          <w:sz w:val="26"/>
        </w:rPr>
      </w:pPr>
    </w:p>
    <w:p>
      <w:pPr>
        <w:pStyle w:val="BodyText"/>
        <w:spacing w:before="10"/>
        <w:rPr>
          <w:rFonts w:ascii="Verdana"/>
          <w:sz w:val="19"/>
        </w:rPr>
      </w:pPr>
    </w:p>
    <w:p>
      <w:pPr>
        <w:pStyle w:val="Heading5"/>
        <w:numPr>
          <w:ilvl w:val="2"/>
          <w:numId w:val="10"/>
        </w:numPr>
        <w:tabs>
          <w:tab w:pos="1148" w:val="left" w:leader="none"/>
          <w:tab w:pos="1149" w:val="left" w:leader="none"/>
        </w:tabs>
        <w:spacing w:line="240" w:lineRule="auto" w:before="0" w:after="0"/>
        <w:ind w:left="1148" w:right="0" w:hanging="930"/>
        <w:jc w:val="left"/>
      </w:pPr>
      <w:bookmarkStart w:name="_TOC_250091" w:id="8"/>
      <w:bookmarkEnd w:id="8"/>
      <w:r>
        <w:rPr/>
        <w:t>Biocombustibles</w:t>
      </w:r>
    </w:p>
    <w:p>
      <w:pPr>
        <w:pStyle w:val="BodyText"/>
        <w:spacing w:before="9"/>
        <w:rPr>
          <w:rFonts w:ascii="Verdana"/>
          <w:b/>
          <w:sz w:val="22"/>
        </w:rPr>
      </w:pPr>
    </w:p>
    <w:p>
      <w:pPr>
        <w:pStyle w:val="BodyText"/>
        <w:ind w:left="219" w:right="214"/>
        <w:jc w:val="both"/>
      </w:pPr>
      <w:r>
        <w:rPr/>
        <w:t>La estrategia de producción de biocombustibles parte de la diferencia entre el área potencial apta para biocombustibles y el área actualmente cultivada, bajo el supuesto de que el área actualmente sembrada seguirá atendiendo los mercados tradicionales (azúcar, furfural y aceite) y que solo las nuevas plantaciones atenderán la producción de biocombustibles.</w:t>
      </w:r>
    </w:p>
    <w:p>
      <w:pPr>
        <w:pStyle w:val="BodyText"/>
        <w:rPr>
          <w:sz w:val="20"/>
        </w:rPr>
      </w:pPr>
    </w:p>
    <w:p>
      <w:pPr>
        <w:pStyle w:val="BodyText"/>
        <w:rPr>
          <w:sz w:val="20"/>
        </w:rPr>
      </w:pPr>
    </w:p>
    <w:p>
      <w:pPr>
        <w:pStyle w:val="BodyText"/>
        <w:rPr>
          <w:sz w:val="20"/>
        </w:rPr>
      </w:pPr>
    </w:p>
    <w:p>
      <w:pPr>
        <w:pStyle w:val="BodyText"/>
        <w:spacing w:before="5"/>
        <w:rPr>
          <w:sz w:val="10"/>
        </w:rPr>
      </w:pPr>
      <w:r>
        <w:rPr/>
        <w:pict>
          <v:rect style="position:absolute;margin-left:72pt;margin-top:8.261703pt;width:467.99999pt;height:.72pt;mso-position-horizontal-relative:page;mso-position-vertical-relative:paragraph;z-index:-15691264;mso-wrap-distance-left:0;mso-wrap-distance-right:0" filled="true" fillcolor="#000000" stroked="false">
            <v:fill type="solid"/>
            <w10:wrap type="topAndBottom"/>
          </v:rect>
        </w:pict>
      </w:r>
    </w:p>
    <w:p>
      <w:pPr>
        <w:spacing w:before="91"/>
        <w:ind w:left="219" w:right="216" w:firstLine="0"/>
        <w:jc w:val="both"/>
        <w:rPr>
          <w:rFonts w:ascii="Verdana" w:hAnsi="Verdana"/>
          <w:sz w:val="20"/>
        </w:rPr>
      </w:pPr>
      <w:r>
        <w:rPr>
          <w:rFonts w:ascii="Verdana" w:hAnsi="Verdana"/>
          <w:sz w:val="20"/>
          <w:vertAlign w:val="superscript"/>
        </w:rPr>
        <w:t>8</w:t>
      </w:r>
      <w:r>
        <w:rPr>
          <w:rFonts w:ascii="Verdana" w:hAnsi="Verdana"/>
          <w:sz w:val="20"/>
          <w:vertAlign w:val="baseline"/>
        </w:rPr>
        <w:t> Como pequeñas centrales (PCH), objeto de la Ley de Incentivo a las Energías Renovables  y sus Regímenes Especiales, se consideran las centrales con una capacidad inferior a 5 MW. En 2007, de acuerdo con la CNE, de la potencia instalada, 7 pequeñas centrales</w:t>
      </w:r>
      <w:r>
        <w:rPr>
          <w:rFonts w:ascii="Verdana" w:hAnsi="Verdana"/>
          <w:spacing w:val="-17"/>
          <w:sz w:val="20"/>
          <w:vertAlign w:val="baseline"/>
        </w:rPr>
        <w:t> </w:t>
      </w:r>
      <w:r>
        <w:rPr>
          <w:rFonts w:ascii="Verdana" w:hAnsi="Verdana"/>
          <w:sz w:val="20"/>
          <w:vertAlign w:val="baseline"/>
        </w:rPr>
        <w:t>totalizan</w:t>
      </w:r>
    </w:p>
    <w:p>
      <w:pPr>
        <w:pStyle w:val="ListParagraph"/>
        <w:numPr>
          <w:ilvl w:val="1"/>
          <w:numId w:val="14"/>
        </w:numPr>
        <w:tabs>
          <w:tab w:pos="811" w:val="left" w:leader="none"/>
        </w:tabs>
        <w:spacing w:line="240" w:lineRule="auto" w:before="1" w:after="0"/>
        <w:ind w:left="219" w:right="215" w:firstLine="0"/>
        <w:jc w:val="both"/>
        <w:rPr>
          <w:rFonts w:ascii="Verdana" w:hAnsi="Verdana"/>
          <w:sz w:val="20"/>
        </w:rPr>
      </w:pPr>
      <w:r>
        <w:rPr>
          <w:rFonts w:ascii="Verdana" w:hAnsi="Verdana"/>
          <w:sz w:val="20"/>
        </w:rPr>
        <w:t>MW de potencia instalada y corresponden al 2.2 % del total. Lo anterior indica claramente que la capacidad hidroeléctrica esta evidentemente fundamentada en centrales hidroeléctricas antes que en PCH’s.</w:t>
      </w:r>
    </w:p>
    <w:p>
      <w:pPr>
        <w:spacing w:after="0" w:line="240" w:lineRule="auto"/>
        <w:jc w:val="both"/>
        <w:rPr>
          <w:rFonts w:ascii="Verdana" w:hAnsi="Verdana"/>
          <w:sz w:val="20"/>
        </w:rPr>
        <w:sectPr>
          <w:pgSz w:w="12240" w:h="15840"/>
          <w:pgMar w:header="718" w:footer="954" w:top="1500" w:bottom="1140" w:left="1220" w:right="1220"/>
        </w:sectPr>
      </w:pPr>
    </w:p>
    <w:p>
      <w:pPr>
        <w:pStyle w:val="BodyText"/>
        <w:spacing w:before="113"/>
        <w:ind w:left="220" w:right="214" w:hanging="1"/>
        <w:jc w:val="both"/>
      </w:pPr>
      <w:r>
        <w:rPr/>
        <w:t>La estrategia considera dos escenarios de demanda potencial de biocombustibles</w:t>
      </w:r>
      <w:r>
        <w:rPr>
          <w:vertAlign w:val="superscript"/>
        </w:rPr>
        <w:t>9</w:t>
      </w:r>
      <w:r>
        <w:rPr>
          <w:vertAlign w:val="baseline"/>
        </w:rPr>
        <w:t> (alto y bajo) para E10 y B5</w:t>
      </w:r>
      <w:r>
        <w:rPr>
          <w:vertAlign w:val="superscript"/>
        </w:rPr>
        <w:t>10</w:t>
      </w:r>
      <w:r>
        <w:rPr>
          <w:vertAlign w:val="baseline"/>
        </w:rPr>
        <w:t>, para estimar los excedentes exportables. El escenario bajo asume que el área nueva cultivada está limitada por el potencial mínimo basado en restricciones edafoclimáticas más rigurosas y/o los valores históricos alcanzados. El escenario alto está basado en potenciales del suelo según la información del Ministerio de Agricultura, Documento Zonificación de Suelos, Depto. Economía Agropecuaria.</w:t>
      </w:r>
    </w:p>
    <w:p>
      <w:pPr>
        <w:pStyle w:val="BodyText"/>
        <w:spacing w:before="7"/>
      </w:pPr>
    </w:p>
    <w:p>
      <w:pPr>
        <w:pStyle w:val="Heading3"/>
        <w:ind w:left="1300"/>
        <w:rPr>
          <w:i/>
        </w:rPr>
      </w:pPr>
      <w:bookmarkStart w:name="_TOC_250090" w:id="9"/>
      <w:bookmarkEnd w:id="9"/>
      <w:r>
        <w:rPr>
          <w:i/>
          <w:w w:val="110"/>
        </w:rPr>
        <w:t>Etanol</w:t>
      </w:r>
    </w:p>
    <w:p>
      <w:pPr>
        <w:pStyle w:val="BodyText"/>
        <w:spacing w:before="3"/>
        <w:rPr>
          <w:rFonts w:ascii="Times New Roman"/>
          <w:b/>
          <w:i/>
          <w:sz w:val="24"/>
        </w:rPr>
      </w:pPr>
    </w:p>
    <w:p>
      <w:pPr>
        <w:pStyle w:val="ListParagraph"/>
        <w:numPr>
          <w:ilvl w:val="2"/>
          <w:numId w:val="14"/>
        </w:numPr>
        <w:tabs>
          <w:tab w:pos="941" w:val="left" w:leader="none"/>
        </w:tabs>
        <w:spacing w:line="240" w:lineRule="auto" w:before="0" w:after="0"/>
        <w:ind w:left="940" w:right="215" w:hanging="360"/>
        <w:jc w:val="both"/>
        <w:rPr>
          <w:sz w:val="23"/>
        </w:rPr>
      </w:pPr>
      <w:r>
        <w:rPr>
          <w:sz w:val="23"/>
        </w:rPr>
        <w:t>Iniciar el desarrollo del programa de etanol basados en nuevos cultivos de caña de azúcar con orientación específica hacia suministrar la materia prima a destilerías autónomas. Aunque los ingenios azucareros actualmente en actividad tienen claras ventajas en términos de economías de escala y sinergias energéticas para producir etanol, su orientación actual es hacia la producción de azúcar para el mercado interno y el preferencial de Estados Unidos. No obstante, a largo plazo, los ingenios azucareros deben jugar un papel importante en la producción de etanol, sobre todo en el escenario alto, más agresivo en exportaciones, dado que sus costos de producción (inversión y operación) son más bajos que los de las destilerías autónomas.</w:t>
      </w:r>
    </w:p>
    <w:p>
      <w:pPr>
        <w:pStyle w:val="BodyText"/>
        <w:spacing w:before="9"/>
        <w:rPr>
          <w:sz w:val="22"/>
        </w:rPr>
      </w:pPr>
    </w:p>
    <w:p>
      <w:pPr>
        <w:pStyle w:val="ListParagraph"/>
        <w:numPr>
          <w:ilvl w:val="2"/>
          <w:numId w:val="14"/>
        </w:numPr>
        <w:tabs>
          <w:tab w:pos="941" w:val="left" w:leader="none"/>
        </w:tabs>
        <w:spacing w:line="240" w:lineRule="auto" w:before="0" w:after="0"/>
        <w:ind w:left="940" w:right="213" w:hanging="360"/>
        <w:jc w:val="both"/>
        <w:rPr>
          <w:sz w:val="23"/>
        </w:rPr>
      </w:pPr>
      <w:r>
        <w:rPr>
          <w:sz w:val="23"/>
        </w:rPr>
        <w:t>Para ambos escenarios, la meta a mediano plazo (año 2012) es pasar de la superficie actual cultivada de 125,000 a 255,000 ha, cifra alcanzada en el año 1982, y una capacidad de molienda de cerca de 25,000,000 T anuales. El reto para el desarrollo de un programa de etanol carburante radica en primera instancia en la recuperación de la superficie cultivada al nivel máximo histórico alcanzado de cerca de 255,000 ha, de tal forma que pueda producir etanol después de cubrir los mercados tradicionales y rentables de azúcar en el mercado nacional y el preferencial de Estados Unidos. Esto daría unas 130,000 ha para iniciar el programa de etanol, con una producción aproximada de 2,352 kBbl/año, equivalente a 1,024 Klts/día, suficiente para cubrir la demanda de E10 y generar excedentes</w:t>
      </w:r>
      <w:r>
        <w:rPr>
          <w:spacing w:val="-21"/>
          <w:sz w:val="23"/>
        </w:rPr>
        <w:t> </w:t>
      </w:r>
      <w:r>
        <w:rPr>
          <w:sz w:val="23"/>
        </w:rPr>
        <w:t>exportables.</w:t>
      </w:r>
    </w:p>
    <w:p>
      <w:pPr>
        <w:pStyle w:val="BodyText"/>
        <w:spacing w:before="9"/>
        <w:rPr>
          <w:sz w:val="22"/>
        </w:rPr>
      </w:pPr>
    </w:p>
    <w:p>
      <w:pPr>
        <w:pStyle w:val="ListParagraph"/>
        <w:numPr>
          <w:ilvl w:val="2"/>
          <w:numId w:val="14"/>
        </w:numPr>
        <w:tabs>
          <w:tab w:pos="941" w:val="left" w:leader="none"/>
        </w:tabs>
        <w:spacing w:line="240" w:lineRule="auto" w:before="1" w:after="0"/>
        <w:ind w:left="940" w:right="214" w:hanging="360"/>
        <w:jc w:val="both"/>
        <w:rPr>
          <w:sz w:val="23"/>
        </w:rPr>
      </w:pPr>
      <w:r>
        <w:rPr>
          <w:sz w:val="23"/>
        </w:rPr>
        <w:t>El reto, definido para el escenario alto, es incrementar la superficie sembrada para aumentar los excedentes exportables, Desde el punto de vista de disponibilidad de tierras, es posible adicionar 60,000 ha anuales, con una meta de llegar a cerca de 700,000 ha dedicadas a la producción de etanol. El área nueva cultivada de caña de azúcar produciría 12,668 kBbl/año, equivalente a 21.024 Klts/día de etanol, lo cual genera excedentes exportables muy</w:t>
      </w:r>
      <w:r>
        <w:rPr>
          <w:spacing w:val="-5"/>
          <w:sz w:val="23"/>
        </w:rPr>
        <w:t> </w:t>
      </w:r>
      <w:r>
        <w:rPr>
          <w:sz w:val="23"/>
        </w:rPr>
        <w:t>importantes.</w:t>
      </w:r>
    </w:p>
    <w:p>
      <w:pPr>
        <w:pStyle w:val="BodyText"/>
        <w:spacing w:before="1"/>
      </w:pPr>
    </w:p>
    <w:p>
      <w:pPr>
        <w:pStyle w:val="ListParagraph"/>
        <w:numPr>
          <w:ilvl w:val="2"/>
          <w:numId w:val="14"/>
        </w:numPr>
        <w:tabs>
          <w:tab w:pos="941" w:val="left" w:leader="none"/>
        </w:tabs>
        <w:spacing w:line="235" w:lineRule="auto" w:before="0" w:after="0"/>
        <w:ind w:left="940" w:right="216" w:hanging="360"/>
        <w:jc w:val="both"/>
        <w:rPr>
          <w:sz w:val="23"/>
        </w:rPr>
      </w:pPr>
      <w:r>
        <w:rPr>
          <w:sz w:val="23"/>
        </w:rPr>
        <w:t>La tabla 2.4 muestra la producción para los dos escenarios. En el año 2012, los excedentes</w:t>
      </w:r>
      <w:r>
        <w:rPr>
          <w:spacing w:val="18"/>
          <w:sz w:val="23"/>
        </w:rPr>
        <w:t> </w:t>
      </w:r>
      <w:r>
        <w:rPr>
          <w:sz w:val="23"/>
        </w:rPr>
        <w:t>exportables</w:t>
      </w:r>
      <w:r>
        <w:rPr>
          <w:spacing w:val="19"/>
          <w:sz w:val="23"/>
        </w:rPr>
        <w:t> </w:t>
      </w:r>
      <w:r>
        <w:rPr>
          <w:sz w:val="23"/>
        </w:rPr>
        <w:t>ascienden</w:t>
      </w:r>
      <w:r>
        <w:rPr>
          <w:spacing w:val="22"/>
          <w:sz w:val="23"/>
        </w:rPr>
        <w:t> </w:t>
      </w:r>
      <w:r>
        <w:rPr>
          <w:sz w:val="23"/>
        </w:rPr>
        <w:t>a</w:t>
      </w:r>
      <w:r>
        <w:rPr>
          <w:spacing w:val="20"/>
          <w:sz w:val="23"/>
        </w:rPr>
        <w:t> </w:t>
      </w:r>
      <w:r>
        <w:rPr>
          <w:sz w:val="23"/>
        </w:rPr>
        <w:t>1,515</w:t>
      </w:r>
      <w:r>
        <w:rPr>
          <w:spacing w:val="20"/>
          <w:sz w:val="23"/>
        </w:rPr>
        <w:t> </w:t>
      </w:r>
      <w:r>
        <w:rPr>
          <w:sz w:val="23"/>
        </w:rPr>
        <w:t>kBbl/año</w:t>
      </w:r>
      <w:r>
        <w:rPr>
          <w:spacing w:val="20"/>
          <w:sz w:val="23"/>
        </w:rPr>
        <w:t> </w:t>
      </w:r>
      <w:r>
        <w:rPr>
          <w:sz w:val="23"/>
        </w:rPr>
        <w:t>para</w:t>
      </w:r>
      <w:r>
        <w:rPr>
          <w:spacing w:val="20"/>
          <w:sz w:val="23"/>
        </w:rPr>
        <w:t> </w:t>
      </w:r>
      <w:r>
        <w:rPr>
          <w:sz w:val="23"/>
        </w:rPr>
        <w:t>el</w:t>
      </w:r>
      <w:r>
        <w:rPr>
          <w:spacing w:val="17"/>
          <w:sz w:val="23"/>
        </w:rPr>
        <w:t> </w:t>
      </w:r>
      <w:r>
        <w:rPr>
          <w:sz w:val="23"/>
        </w:rPr>
        <w:t>escenario</w:t>
      </w:r>
      <w:r>
        <w:rPr>
          <w:spacing w:val="18"/>
          <w:sz w:val="23"/>
        </w:rPr>
        <w:t> </w:t>
      </w:r>
      <w:r>
        <w:rPr>
          <w:sz w:val="23"/>
        </w:rPr>
        <w:t>bajo</w:t>
      </w:r>
      <w:r>
        <w:rPr>
          <w:spacing w:val="20"/>
          <w:sz w:val="23"/>
        </w:rPr>
        <w:t> </w:t>
      </w:r>
      <w:r>
        <w:rPr>
          <w:sz w:val="23"/>
        </w:rPr>
        <w:t>y</w:t>
      </w:r>
      <w:r>
        <w:rPr>
          <w:spacing w:val="21"/>
          <w:sz w:val="23"/>
        </w:rPr>
        <w:t> </w:t>
      </w:r>
      <w:r>
        <w:rPr>
          <w:sz w:val="23"/>
        </w:rPr>
        <w:t>1,384</w:t>
      </w:r>
    </w:p>
    <w:p>
      <w:pPr>
        <w:pStyle w:val="BodyText"/>
        <w:rPr>
          <w:sz w:val="19"/>
        </w:rPr>
      </w:pPr>
      <w:r>
        <w:rPr/>
        <w:pict>
          <v:rect style="position:absolute;margin-left:72pt;margin-top:13.445154pt;width:143.999997pt;height:.72pt;mso-position-horizontal-relative:page;mso-position-vertical-relative:paragraph;z-index:-15690752;mso-wrap-distance-left:0;mso-wrap-distance-right:0" filled="true" fillcolor="#000000" stroked="false">
            <v:fill type="solid"/>
            <w10:wrap type="topAndBottom"/>
          </v:rect>
        </w:pict>
      </w:r>
    </w:p>
    <w:p>
      <w:pPr>
        <w:spacing w:before="89"/>
        <w:ind w:left="219" w:right="219" w:firstLine="0"/>
        <w:jc w:val="both"/>
        <w:rPr>
          <w:rFonts w:ascii="Verdana" w:hAnsi="Verdana"/>
          <w:sz w:val="20"/>
        </w:rPr>
      </w:pPr>
      <w:r>
        <w:rPr>
          <w:rFonts w:ascii="Verdana" w:hAnsi="Verdana"/>
          <w:sz w:val="20"/>
          <w:vertAlign w:val="superscript"/>
        </w:rPr>
        <w:t>9</w:t>
      </w:r>
      <w:r>
        <w:rPr>
          <w:rFonts w:ascii="Verdana" w:hAnsi="Verdana"/>
          <w:sz w:val="20"/>
          <w:vertAlign w:val="baseline"/>
        </w:rPr>
        <w:t> 4.  DIAGNÓSTICO Y DEFINICIÓN DE LÍNEAS ESTRATÉGICAS DEL SUBSECTOR FUENTES DE ENERGÍA NUEVAS Y RENOVABLES (FER), Humberto Rodríguez M, Enero de 2008. Numeral 2.2.2: Proyecciones de Demanda de Gasolina y</w:t>
      </w:r>
      <w:r>
        <w:rPr>
          <w:rFonts w:ascii="Verdana" w:hAnsi="Verdana"/>
          <w:spacing w:val="-1"/>
          <w:sz w:val="20"/>
          <w:vertAlign w:val="baseline"/>
        </w:rPr>
        <w:t> </w:t>
      </w:r>
      <w:r>
        <w:rPr>
          <w:rFonts w:ascii="Verdana" w:hAnsi="Verdana"/>
          <w:sz w:val="20"/>
          <w:vertAlign w:val="baseline"/>
        </w:rPr>
        <w:t>Diesel.</w:t>
      </w:r>
    </w:p>
    <w:p>
      <w:pPr>
        <w:spacing w:before="0"/>
        <w:ind w:left="219" w:right="219" w:firstLine="0"/>
        <w:jc w:val="both"/>
        <w:rPr>
          <w:rFonts w:ascii="Verdana"/>
          <w:sz w:val="20"/>
        </w:rPr>
      </w:pPr>
      <w:r>
        <w:rPr>
          <w:rFonts w:ascii="Verdana"/>
          <w:sz w:val="20"/>
          <w:vertAlign w:val="superscript"/>
        </w:rPr>
        <w:t>10</w:t>
      </w:r>
      <w:r>
        <w:rPr>
          <w:rFonts w:ascii="Verdana"/>
          <w:sz w:val="20"/>
          <w:vertAlign w:val="baseline"/>
        </w:rPr>
        <w:t> E10 se refiere a una mezcla de gasolina con 10% de etanol y B5 a una mezcla de diesel con 5% de biodiesel.</w:t>
      </w:r>
    </w:p>
    <w:p>
      <w:pPr>
        <w:spacing w:after="0"/>
        <w:jc w:val="both"/>
        <w:rPr>
          <w:rFonts w:ascii="Verdana"/>
          <w:sz w:val="20"/>
        </w:rPr>
        <w:sectPr>
          <w:pgSz w:w="12240" w:h="15840"/>
          <w:pgMar w:header="718" w:footer="954" w:top="1500" w:bottom="1140" w:left="1220" w:right="1220"/>
        </w:sectPr>
      </w:pPr>
    </w:p>
    <w:p>
      <w:pPr>
        <w:pStyle w:val="BodyText"/>
        <w:spacing w:before="113"/>
        <w:ind w:left="939" w:right="214"/>
        <w:jc w:val="both"/>
      </w:pPr>
      <w:r>
        <w:rPr/>
        <w:t>kBbl/año para el escenario alto, después de cubrir la demanda estimada para el E10. En el año 2020, los excedentes exportables ascienden a 1,424 kBbl/año para el escenario bajo y 11,418 kBbl/año para el escenario alto. Nótese la gran diferencia en exportaciones que resulta de una política agresiva de nuevos cultivos, basados en un potencial de suelos que es factible en República Dominicana.</w:t>
      </w:r>
    </w:p>
    <w:p>
      <w:pPr>
        <w:pStyle w:val="BodyText"/>
        <w:spacing w:before="1"/>
      </w:pPr>
    </w:p>
    <w:p>
      <w:pPr>
        <w:pStyle w:val="ListParagraph"/>
        <w:numPr>
          <w:ilvl w:val="2"/>
          <w:numId w:val="14"/>
        </w:numPr>
        <w:tabs>
          <w:tab w:pos="940" w:val="left" w:leader="none"/>
        </w:tabs>
        <w:spacing w:line="240" w:lineRule="auto" w:before="0" w:after="0"/>
        <w:ind w:left="939" w:right="215" w:hanging="360"/>
        <w:jc w:val="both"/>
        <w:rPr>
          <w:sz w:val="23"/>
        </w:rPr>
      </w:pPr>
      <w:r>
        <w:rPr>
          <w:sz w:val="23"/>
        </w:rPr>
        <w:t>Para implementar esta estrategia se requiere invertir en la instalación de destilerías con una capacidad cercana a 1,000,000 litros/día en 2012 y para el escenario alto se requeriría una capacidad adicional de 4,500,000 litros/día para ser desarrollada en el período</w:t>
      </w:r>
      <w:r>
        <w:rPr>
          <w:spacing w:val="-1"/>
          <w:sz w:val="23"/>
        </w:rPr>
        <w:t> </w:t>
      </w:r>
      <w:r>
        <w:rPr>
          <w:sz w:val="23"/>
        </w:rPr>
        <w:t>2012-2020.</w:t>
      </w:r>
    </w:p>
    <w:p>
      <w:pPr>
        <w:pStyle w:val="BodyText"/>
        <w:spacing w:before="9"/>
        <w:rPr>
          <w:sz w:val="22"/>
        </w:rPr>
      </w:pPr>
    </w:p>
    <w:p>
      <w:pPr>
        <w:pStyle w:val="ListParagraph"/>
        <w:numPr>
          <w:ilvl w:val="2"/>
          <w:numId w:val="14"/>
        </w:numPr>
        <w:tabs>
          <w:tab w:pos="940" w:val="left" w:leader="none"/>
        </w:tabs>
        <w:spacing w:line="240" w:lineRule="auto" w:before="0" w:after="0"/>
        <w:ind w:left="939" w:right="215" w:hanging="360"/>
        <w:jc w:val="both"/>
        <w:rPr>
          <w:sz w:val="23"/>
        </w:rPr>
      </w:pPr>
      <w:r>
        <w:rPr>
          <w:sz w:val="23"/>
        </w:rPr>
        <w:t>Es conveniente, para contrarrestar el monocultivo, diversificar la oferta de materias primas y ampliar el área disponible, promover los cultivos de la remolacha en los suelos II, III y IV y el sorgo dulce en los suelos V, VI y VII, sobre todo en las zonas más áridas y de menos</w:t>
      </w:r>
      <w:r>
        <w:rPr>
          <w:spacing w:val="-3"/>
          <w:sz w:val="23"/>
        </w:rPr>
        <w:t> </w:t>
      </w:r>
      <w:r>
        <w:rPr>
          <w:sz w:val="23"/>
        </w:rPr>
        <w:t>precipitación.</w:t>
      </w:r>
    </w:p>
    <w:p>
      <w:pPr>
        <w:pStyle w:val="BodyText"/>
        <w:spacing w:before="10"/>
        <w:rPr>
          <w:sz w:val="22"/>
        </w:rPr>
      </w:pPr>
    </w:p>
    <w:p>
      <w:pPr>
        <w:pStyle w:val="ListParagraph"/>
        <w:numPr>
          <w:ilvl w:val="2"/>
          <w:numId w:val="14"/>
        </w:numPr>
        <w:tabs>
          <w:tab w:pos="940" w:val="left" w:leader="none"/>
        </w:tabs>
        <w:spacing w:line="240" w:lineRule="auto" w:before="0" w:after="0"/>
        <w:ind w:left="939" w:right="214" w:hanging="360"/>
        <w:jc w:val="both"/>
        <w:rPr>
          <w:sz w:val="23"/>
        </w:rPr>
      </w:pPr>
      <w:r>
        <w:rPr>
          <w:sz w:val="23"/>
        </w:rPr>
        <w:t>En especial, el sorgo dulce tiene un gran potencial, por ser un cultivo multipropósito que puede producir (i) alimento en forma de grano, (ii) combustible en forma de etanol por la destilación de los jugos de la caña y (iii) forraje, energía, fertilizante orgánico o pulpa para producción de papel de sus hojas y bagazo. El grano y los subproductos del procesamiento del sorgo dulce representan un porcentaje significativo de la cosecha y su uso y valor asociado impacta significativamente la economía de la producción de etanol. Los posibles usos de los subproductos incluyen la combustión del bagazo y follaje para producir energía térmica para el proceso o para cogeneración, pulpa para papel o tableros conglomerados, heno, ensilaje para alimento de ganado o abono orgánico.</w:t>
      </w:r>
    </w:p>
    <w:p>
      <w:pPr>
        <w:pStyle w:val="BodyText"/>
        <w:rPr>
          <w:sz w:val="28"/>
        </w:rPr>
      </w:pPr>
    </w:p>
    <w:p>
      <w:pPr>
        <w:pStyle w:val="Heading9"/>
        <w:spacing w:before="214"/>
        <w:ind w:left="536"/>
      </w:pPr>
      <w:r>
        <w:rPr/>
        <w:t>Tabla 2.4 - Producción y exportación de etanol con base en Cultivos Nuevos</w:t>
      </w:r>
    </w:p>
    <w:p>
      <w:pPr>
        <w:pStyle w:val="BodyText"/>
        <w:spacing w:before="3"/>
        <w:rPr>
          <w:b/>
          <w:sz w:val="15"/>
        </w:rPr>
      </w:pPr>
    </w:p>
    <w:p>
      <w:pPr>
        <w:spacing w:before="102"/>
        <w:ind w:left="282" w:right="0" w:firstLine="0"/>
        <w:jc w:val="left"/>
        <w:rPr>
          <w:rFonts w:ascii="Arial"/>
          <w:b/>
          <w:sz w:val="13"/>
        </w:rPr>
      </w:pPr>
      <w:r>
        <w:rPr>
          <w:rFonts w:ascii="Arial"/>
          <w:b/>
          <w:spacing w:val="-4"/>
          <w:w w:val="105"/>
          <w:sz w:val="13"/>
        </w:rPr>
        <w:t>ESCENARIO</w:t>
      </w:r>
      <w:r>
        <w:rPr>
          <w:rFonts w:ascii="Arial"/>
          <w:b/>
          <w:spacing w:val="6"/>
          <w:w w:val="105"/>
          <w:sz w:val="13"/>
        </w:rPr>
        <w:t> </w:t>
      </w:r>
      <w:r>
        <w:rPr>
          <w:rFonts w:ascii="Arial"/>
          <w:b/>
          <w:spacing w:val="-5"/>
          <w:w w:val="105"/>
          <w:sz w:val="13"/>
        </w:rPr>
        <w:t>BAJO</w:t>
      </w:r>
    </w:p>
    <w:p>
      <w:pPr>
        <w:pStyle w:val="BodyText"/>
        <w:spacing w:before="6"/>
        <w:rPr>
          <w:rFonts w:ascii="Arial"/>
          <w:b/>
          <w:sz w:val="14"/>
        </w:rPr>
      </w:pPr>
    </w:p>
    <w:tbl>
      <w:tblPr>
        <w:tblW w:w="0" w:type="auto"/>
        <w:jc w:val="left"/>
        <w:tblInd w:w="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2"/>
        <w:gridCol w:w="977"/>
        <w:gridCol w:w="974"/>
        <w:gridCol w:w="973"/>
        <w:gridCol w:w="975"/>
        <w:gridCol w:w="973"/>
        <w:gridCol w:w="1133"/>
        <w:gridCol w:w="975"/>
        <w:gridCol w:w="970"/>
      </w:tblGrid>
      <w:tr>
        <w:trPr>
          <w:trHeight w:val="156" w:hRule="atLeast"/>
        </w:trPr>
        <w:tc>
          <w:tcPr>
            <w:tcW w:w="1162" w:type="dxa"/>
            <w:vMerge w:val="restart"/>
            <w:tcBorders>
              <w:top w:val="nil"/>
              <w:left w:val="nil"/>
            </w:tcBorders>
          </w:tcPr>
          <w:p>
            <w:pPr>
              <w:pStyle w:val="TableParagraph"/>
              <w:rPr>
                <w:rFonts w:ascii="Times New Roman"/>
                <w:sz w:val="18"/>
              </w:rPr>
            </w:pPr>
          </w:p>
        </w:tc>
        <w:tc>
          <w:tcPr>
            <w:tcW w:w="4872" w:type="dxa"/>
            <w:gridSpan w:val="5"/>
            <w:tcBorders>
              <w:bottom w:val="single" w:sz="6" w:space="0" w:color="000000"/>
              <w:right w:val="thinThickMediumGap" w:sz="2" w:space="0" w:color="000000"/>
            </w:tcBorders>
          </w:tcPr>
          <w:p>
            <w:pPr>
              <w:pStyle w:val="TableParagraph"/>
              <w:spacing w:line="126" w:lineRule="exact" w:before="11"/>
              <w:ind w:left="2084" w:right="2076"/>
              <w:jc w:val="center"/>
              <w:rPr>
                <w:rFonts w:ascii="Arial"/>
                <w:b/>
                <w:sz w:val="13"/>
              </w:rPr>
            </w:pPr>
            <w:r>
              <w:rPr>
                <w:rFonts w:ascii="Arial"/>
                <w:b/>
                <w:w w:val="105"/>
                <w:sz w:val="13"/>
              </w:rPr>
              <w:t>Meta 2012</w:t>
            </w:r>
          </w:p>
        </w:tc>
        <w:tc>
          <w:tcPr>
            <w:tcW w:w="3078" w:type="dxa"/>
            <w:gridSpan w:val="3"/>
            <w:tcBorders>
              <w:left w:val="thickThinMediumGap" w:sz="2" w:space="0" w:color="000000"/>
              <w:bottom w:val="single" w:sz="6" w:space="0" w:color="000000"/>
            </w:tcBorders>
          </w:tcPr>
          <w:p>
            <w:pPr>
              <w:pStyle w:val="TableParagraph"/>
              <w:spacing w:line="126" w:lineRule="exact" w:before="11"/>
              <w:ind w:left="1187" w:right="1180"/>
              <w:jc w:val="center"/>
              <w:rPr>
                <w:rFonts w:ascii="Arial"/>
                <w:b/>
                <w:sz w:val="13"/>
              </w:rPr>
            </w:pPr>
            <w:r>
              <w:rPr>
                <w:rFonts w:ascii="Arial"/>
                <w:b/>
                <w:w w:val="105"/>
                <w:sz w:val="13"/>
              </w:rPr>
              <w:t>Meta 2020</w:t>
            </w:r>
          </w:p>
        </w:tc>
      </w:tr>
      <w:tr>
        <w:trPr>
          <w:trHeight w:val="329" w:hRule="atLeast"/>
        </w:trPr>
        <w:tc>
          <w:tcPr>
            <w:tcW w:w="1162" w:type="dxa"/>
            <w:vMerge/>
            <w:tcBorders>
              <w:top w:val="nil"/>
              <w:left w:val="nil"/>
            </w:tcBorders>
          </w:tcPr>
          <w:p>
            <w:pPr>
              <w:rPr>
                <w:sz w:val="2"/>
                <w:szCs w:val="2"/>
              </w:rPr>
            </w:pPr>
          </w:p>
        </w:tc>
        <w:tc>
          <w:tcPr>
            <w:tcW w:w="977" w:type="dxa"/>
            <w:tcBorders>
              <w:top w:val="single" w:sz="6" w:space="0" w:color="000000"/>
              <w:bottom w:val="single" w:sz="6" w:space="0" w:color="000000"/>
              <w:right w:val="single" w:sz="4" w:space="0" w:color="000000"/>
            </w:tcBorders>
          </w:tcPr>
          <w:p>
            <w:pPr>
              <w:pStyle w:val="TableParagraph"/>
              <w:spacing w:before="5"/>
              <w:rPr>
                <w:rFonts w:ascii="Arial"/>
                <w:b/>
                <w:sz w:val="15"/>
              </w:rPr>
            </w:pPr>
          </w:p>
          <w:p>
            <w:pPr>
              <w:pStyle w:val="TableParagraph"/>
              <w:spacing w:line="132" w:lineRule="exact"/>
              <w:ind w:left="186"/>
              <w:rPr>
                <w:rFonts w:ascii="Arial"/>
                <w:sz w:val="13"/>
              </w:rPr>
            </w:pPr>
            <w:r>
              <w:rPr>
                <w:rFonts w:ascii="Arial"/>
                <w:w w:val="105"/>
                <w:sz w:val="13"/>
              </w:rPr>
              <w:t>Sembrada</w:t>
            </w:r>
          </w:p>
        </w:tc>
        <w:tc>
          <w:tcPr>
            <w:tcW w:w="974" w:type="dxa"/>
            <w:tcBorders>
              <w:top w:val="single" w:sz="6" w:space="0" w:color="000000"/>
              <w:left w:val="single" w:sz="4" w:space="0" w:color="000000"/>
              <w:bottom w:val="single" w:sz="6" w:space="0" w:color="000000"/>
              <w:right w:val="single" w:sz="6" w:space="0" w:color="000000"/>
            </w:tcBorders>
          </w:tcPr>
          <w:p>
            <w:pPr>
              <w:pStyle w:val="TableParagraph"/>
              <w:spacing w:before="5"/>
              <w:rPr>
                <w:rFonts w:ascii="Arial"/>
                <w:b/>
                <w:sz w:val="15"/>
              </w:rPr>
            </w:pPr>
          </w:p>
          <w:p>
            <w:pPr>
              <w:pStyle w:val="TableParagraph"/>
              <w:spacing w:line="132" w:lineRule="exact"/>
              <w:ind w:left="220"/>
              <w:rPr>
                <w:rFonts w:ascii="Arial"/>
                <w:sz w:val="13"/>
              </w:rPr>
            </w:pPr>
            <w:r>
              <w:rPr>
                <w:rFonts w:ascii="Arial"/>
                <w:w w:val="105"/>
                <w:sz w:val="13"/>
              </w:rPr>
              <w:t>Potencial</w:t>
            </w:r>
          </w:p>
        </w:tc>
        <w:tc>
          <w:tcPr>
            <w:tcW w:w="973" w:type="dxa"/>
            <w:tcBorders>
              <w:top w:val="single" w:sz="6" w:space="0" w:color="000000"/>
              <w:left w:val="single" w:sz="6" w:space="0" w:color="000000"/>
              <w:bottom w:val="single" w:sz="6" w:space="0" w:color="000000"/>
              <w:right w:val="single" w:sz="6" w:space="0" w:color="000000"/>
            </w:tcBorders>
          </w:tcPr>
          <w:p>
            <w:pPr>
              <w:pStyle w:val="TableParagraph"/>
              <w:spacing w:before="9"/>
              <w:ind w:left="273"/>
              <w:rPr>
                <w:rFonts w:ascii="Arial"/>
                <w:sz w:val="13"/>
              </w:rPr>
            </w:pPr>
            <w:r>
              <w:rPr>
                <w:rFonts w:ascii="Arial"/>
                <w:spacing w:val="-6"/>
                <w:w w:val="105"/>
                <w:sz w:val="13"/>
              </w:rPr>
              <w:t>Nuevos</w:t>
            </w:r>
          </w:p>
          <w:p>
            <w:pPr>
              <w:pStyle w:val="TableParagraph"/>
              <w:spacing w:line="132" w:lineRule="exact" w:before="19"/>
              <w:ind w:left="280"/>
              <w:rPr>
                <w:rFonts w:ascii="Arial"/>
                <w:sz w:val="13"/>
              </w:rPr>
            </w:pPr>
            <w:r>
              <w:rPr>
                <w:rFonts w:ascii="Arial"/>
                <w:spacing w:val="-5"/>
                <w:w w:val="105"/>
                <w:sz w:val="13"/>
              </w:rPr>
              <w:t>Cultivos</w:t>
            </w:r>
          </w:p>
        </w:tc>
        <w:tc>
          <w:tcPr>
            <w:tcW w:w="975" w:type="dxa"/>
            <w:tcBorders>
              <w:top w:val="single" w:sz="6" w:space="0" w:color="000000"/>
              <w:left w:val="single" w:sz="6" w:space="0" w:color="000000"/>
              <w:bottom w:val="single" w:sz="6" w:space="0" w:color="000000"/>
              <w:right w:val="single" w:sz="6" w:space="0" w:color="000000"/>
            </w:tcBorders>
          </w:tcPr>
          <w:p>
            <w:pPr>
              <w:pStyle w:val="TableParagraph"/>
              <w:spacing w:before="9"/>
              <w:ind w:left="165" w:right="159"/>
              <w:jc w:val="center"/>
              <w:rPr>
                <w:rFonts w:ascii="Arial"/>
                <w:sz w:val="13"/>
              </w:rPr>
            </w:pPr>
            <w:r>
              <w:rPr>
                <w:rFonts w:ascii="Arial"/>
                <w:w w:val="105"/>
                <w:sz w:val="13"/>
              </w:rPr>
              <w:t>Demanda</w:t>
            </w:r>
          </w:p>
          <w:p>
            <w:pPr>
              <w:pStyle w:val="TableParagraph"/>
              <w:spacing w:line="132" w:lineRule="exact" w:before="19"/>
              <w:ind w:left="165" w:right="151"/>
              <w:jc w:val="center"/>
              <w:rPr>
                <w:rFonts w:ascii="Arial"/>
                <w:sz w:val="13"/>
              </w:rPr>
            </w:pPr>
            <w:r>
              <w:rPr>
                <w:rFonts w:ascii="Arial"/>
                <w:w w:val="105"/>
                <w:sz w:val="13"/>
              </w:rPr>
              <w:t>E10</w:t>
            </w:r>
          </w:p>
        </w:tc>
        <w:tc>
          <w:tcPr>
            <w:tcW w:w="973" w:type="dxa"/>
            <w:tcBorders>
              <w:top w:val="single" w:sz="6" w:space="0" w:color="000000"/>
              <w:left w:val="single" w:sz="6" w:space="0" w:color="000000"/>
              <w:bottom w:val="single" w:sz="6" w:space="0" w:color="000000"/>
              <w:right w:val="thinThickMediumGap" w:sz="2" w:space="0" w:color="000000"/>
            </w:tcBorders>
          </w:tcPr>
          <w:p>
            <w:pPr>
              <w:pStyle w:val="TableParagraph"/>
              <w:spacing w:before="9"/>
              <w:ind w:left="173"/>
              <w:rPr>
                <w:rFonts w:ascii="Arial"/>
                <w:sz w:val="13"/>
              </w:rPr>
            </w:pPr>
            <w:r>
              <w:rPr>
                <w:rFonts w:ascii="Arial"/>
                <w:spacing w:val="-4"/>
                <w:w w:val="105"/>
                <w:sz w:val="13"/>
              </w:rPr>
              <w:t>Excedente</w:t>
            </w:r>
          </w:p>
          <w:p>
            <w:pPr>
              <w:pStyle w:val="TableParagraph"/>
              <w:spacing w:line="132" w:lineRule="exact" w:before="19"/>
              <w:ind w:left="173"/>
              <w:rPr>
                <w:rFonts w:ascii="Arial"/>
                <w:sz w:val="13"/>
              </w:rPr>
            </w:pPr>
            <w:r>
              <w:rPr>
                <w:rFonts w:ascii="Arial"/>
                <w:spacing w:val="-4"/>
                <w:w w:val="105"/>
                <w:sz w:val="13"/>
              </w:rPr>
              <w:t>Exportable</w:t>
            </w:r>
          </w:p>
        </w:tc>
        <w:tc>
          <w:tcPr>
            <w:tcW w:w="1133" w:type="dxa"/>
            <w:tcBorders>
              <w:top w:val="single" w:sz="6" w:space="0" w:color="000000"/>
              <w:left w:val="thickThinMediumGap" w:sz="2" w:space="0" w:color="000000"/>
              <w:bottom w:val="single" w:sz="6" w:space="0" w:color="000000"/>
              <w:right w:val="single" w:sz="6" w:space="0" w:color="000000"/>
            </w:tcBorders>
          </w:tcPr>
          <w:p>
            <w:pPr>
              <w:pStyle w:val="TableParagraph"/>
              <w:spacing w:before="9"/>
              <w:ind w:left="326"/>
              <w:rPr>
                <w:rFonts w:ascii="Arial"/>
                <w:sz w:val="13"/>
              </w:rPr>
            </w:pPr>
            <w:r>
              <w:rPr>
                <w:rFonts w:ascii="Arial"/>
                <w:spacing w:val="-6"/>
                <w:w w:val="105"/>
                <w:sz w:val="13"/>
              </w:rPr>
              <w:t>Nuevos</w:t>
            </w:r>
          </w:p>
          <w:p>
            <w:pPr>
              <w:pStyle w:val="TableParagraph"/>
              <w:spacing w:line="132" w:lineRule="exact" w:before="19"/>
              <w:ind w:left="336"/>
              <w:rPr>
                <w:rFonts w:ascii="Arial"/>
                <w:sz w:val="13"/>
              </w:rPr>
            </w:pPr>
            <w:r>
              <w:rPr>
                <w:rFonts w:ascii="Arial"/>
                <w:spacing w:val="-5"/>
                <w:w w:val="105"/>
                <w:sz w:val="13"/>
              </w:rPr>
              <w:t>Cultivos</w:t>
            </w:r>
          </w:p>
        </w:tc>
        <w:tc>
          <w:tcPr>
            <w:tcW w:w="975" w:type="dxa"/>
            <w:tcBorders>
              <w:top w:val="single" w:sz="6" w:space="0" w:color="000000"/>
              <w:left w:val="single" w:sz="6" w:space="0" w:color="000000"/>
              <w:bottom w:val="single" w:sz="6" w:space="0" w:color="000000"/>
              <w:right w:val="single" w:sz="6" w:space="0" w:color="000000"/>
            </w:tcBorders>
          </w:tcPr>
          <w:p>
            <w:pPr>
              <w:pStyle w:val="TableParagraph"/>
              <w:spacing w:before="9"/>
              <w:ind w:left="164" w:right="161"/>
              <w:jc w:val="center"/>
              <w:rPr>
                <w:rFonts w:ascii="Arial"/>
                <w:sz w:val="13"/>
              </w:rPr>
            </w:pPr>
            <w:r>
              <w:rPr>
                <w:rFonts w:ascii="Arial"/>
                <w:w w:val="105"/>
                <w:sz w:val="13"/>
              </w:rPr>
              <w:t>Demanda</w:t>
            </w:r>
          </w:p>
          <w:p>
            <w:pPr>
              <w:pStyle w:val="TableParagraph"/>
              <w:spacing w:line="132" w:lineRule="exact" w:before="19"/>
              <w:ind w:left="165" w:right="154"/>
              <w:jc w:val="center"/>
              <w:rPr>
                <w:rFonts w:ascii="Arial"/>
                <w:sz w:val="13"/>
              </w:rPr>
            </w:pPr>
            <w:r>
              <w:rPr>
                <w:rFonts w:ascii="Arial"/>
                <w:w w:val="105"/>
                <w:sz w:val="13"/>
              </w:rPr>
              <w:t>E10</w:t>
            </w:r>
          </w:p>
        </w:tc>
        <w:tc>
          <w:tcPr>
            <w:tcW w:w="970" w:type="dxa"/>
            <w:tcBorders>
              <w:top w:val="single" w:sz="6" w:space="0" w:color="000000"/>
              <w:left w:val="single" w:sz="6" w:space="0" w:color="000000"/>
              <w:bottom w:val="single" w:sz="6" w:space="0" w:color="000000"/>
            </w:tcBorders>
          </w:tcPr>
          <w:p>
            <w:pPr>
              <w:pStyle w:val="TableParagraph"/>
              <w:spacing w:before="9"/>
              <w:ind w:left="172"/>
              <w:rPr>
                <w:rFonts w:ascii="Arial"/>
                <w:sz w:val="13"/>
              </w:rPr>
            </w:pPr>
            <w:r>
              <w:rPr>
                <w:rFonts w:ascii="Arial"/>
                <w:spacing w:val="-4"/>
                <w:w w:val="105"/>
                <w:sz w:val="13"/>
              </w:rPr>
              <w:t>Excedente</w:t>
            </w:r>
          </w:p>
          <w:p>
            <w:pPr>
              <w:pStyle w:val="TableParagraph"/>
              <w:spacing w:line="132" w:lineRule="exact" w:before="19"/>
              <w:ind w:left="172"/>
              <w:rPr>
                <w:rFonts w:ascii="Arial"/>
                <w:sz w:val="13"/>
              </w:rPr>
            </w:pPr>
            <w:r>
              <w:rPr>
                <w:rFonts w:ascii="Arial"/>
                <w:spacing w:val="-5"/>
                <w:w w:val="105"/>
                <w:sz w:val="13"/>
              </w:rPr>
              <w:t>Exportable</w:t>
            </w:r>
          </w:p>
        </w:tc>
      </w:tr>
      <w:tr>
        <w:trPr>
          <w:trHeight w:val="164" w:hRule="atLeast"/>
        </w:trPr>
        <w:tc>
          <w:tcPr>
            <w:tcW w:w="1162" w:type="dxa"/>
            <w:tcBorders>
              <w:left w:val="single" w:sz="4" w:space="0" w:color="000000"/>
              <w:bottom w:val="nil"/>
            </w:tcBorders>
          </w:tcPr>
          <w:p>
            <w:pPr>
              <w:pStyle w:val="TableParagraph"/>
              <w:spacing w:line="139" w:lineRule="exact" w:before="5"/>
              <w:ind w:left="26"/>
              <w:rPr>
                <w:rFonts w:ascii="Arial" w:hAnsi="Arial"/>
                <w:sz w:val="13"/>
              </w:rPr>
            </w:pPr>
            <w:r>
              <w:rPr>
                <w:rFonts w:ascii="Arial" w:hAnsi="Arial"/>
                <w:w w:val="105"/>
                <w:sz w:val="13"/>
              </w:rPr>
              <w:t>Hectáreas</w:t>
            </w:r>
          </w:p>
        </w:tc>
        <w:tc>
          <w:tcPr>
            <w:tcW w:w="977" w:type="dxa"/>
            <w:tcBorders>
              <w:top w:val="single" w:sz="6" w:space="0" w:color="000000"/>
              <w:bottom w:val="nil"/>
              <w:right w:val="single" w:sz="4" w:space="0" w:color="000000"/>
            </w:tcBorders>
          </w:tcPr>
          <w:p>
            <w:pPr>
              <w:pStyle w:val="TableParagraph"/>
              <w:spacing w:line="139" w:lineRule="exact" w:before="5"/>
              <w:ind w:right="61"/>
              <w:jc w:val="right"/>
              <w:rPr>
                <w:rFonts w:ascii="Arial"/>
                <w:sz w:val="13"/>
              </w:rPr>
            </w:pPr>
            <w:r>
              <w:rPr>
                <w:rFonts w:ascii="Arial"/>
                <w:w w:val="105"/>
                <w:sz w:val="13"/>
              </w:rPr>
              <w:t>125.073</w:t>
            </w:r>
          </w:p>
        </w:tc>
        <w:tc>
          <w:tcPr>
            <w:tcW w:w="974" w:type="dxa"/>
            <w:tcBorders>
              <w:top w:val="single" w:sz="6" w:space="0" w:color="000000"/>
              <w:left w:val="single" w:sz="4" w:space="0" w:color="000000"/>
              <w:bottom w:val="nil"/>
              <w:right w:val="single" w:sz="6" w:space="0" w:color="000000"/>
            </w:tcBorders>
          </w:tcPr>
          <w:p>
            <w:pPr>
              <w:pStyle w:val="TableParagraph"/>
              <w:spacing w:line="139" w:lineRule="exact" w:before="5"/>
              <w:ind w:right="61"/>
              <w:jc w:val="right"/>
              <w:rPr>
                <w:rFonts w:ascii="Arial"/>
                <w:sz w:val="13"/>
              </w:rPr>
            </w:pPr>
            <w:r>
              <w:rPr>
                <w:rFonts w:ascii="Arial"/>
                <w:w w:val="105"/>
                <w:sz w:val="13"/>
              </w:rPr>
              <w:t>255.008</w:t>
            </w:r>
          </w:p>
        </w:tc>
        <w:tc>
          <w:tcPr>
            <w:tcW w:w="973" w:type="dxa"/>
            <w:tcBorders>
              <w:top w:val="single" w:sz="6" w:space="0" w:color="000000"/>
              <w:left w:val="single" w:sz="6" w:space="0" w:color="000000"/>
              <w:bottom w:val="nil"/>
              <w:right w:val="single" w:sz="6" w:space="0" w:color="000000"/>
            </w:tcBorders>
          </w:tcPr>
          <w:p>
            <w:pPr>
              <w:pStyle w:val="TableParagraph"/>
              <w:spacing w:line="139" w:lineRule="exact" w:before="5"/>
              <w:ind w:right="59"/>
              <w:jc w:val="right"/>
              <w:rPr>
                <w:rFonts w:ascii="Arial"/>
                <w:sz w:val="13"/>
              </w:rPr>
            </w:pPr>
            <w:r>
              <w:rPr>
                <w:rFonts w:ascii="Arial"/>
                <w:w w:val="105"/>
                <w:sz w:val="13"/>
              </w:rPr>
              <w:t>129.935</w:t>
            </w:r>
          </w:p>
        </w:tc>
        <w:tc>
          <w:tcPr>
            <w:tcW w:w="975" w:type="dxa"/>
            <w:tcBorders>
              <w:top w:val="single" w:sz="6" w:space="0" w:color="000000"/>
              <w:left w:val="single" w:sz="6" w:space="0" w:color="000000"/>
              <w:bottom w:val="nil"/>
              <w:right w:val="single" w:sz="6" w:space="0" w:color="000000"/>
            </w:tcBorders>
          </w:tcPr>
          <w:p>
            <w:pPr>
              <w:pStyle w:val="TableParagraph"/>
              <w:rPr>
                <w:rFonts w:ascii="Times New Roman"/>
                <w:sz w:val="10"/>
              </w:rPr>
            </w:pPr>
          </w:p>
        </w:tc>
        <w:tc>
          <w:tcPr>
            <w:tcW w:w="973" w:type="dxa"/>
            <w:tcBorders>
              <w:top w:val="single" w:sz="6" w:space="0" w:color="000000"/>
              <w:left w:val="single" w:sz="6" w:space="0" w:color="000000"/>
              <w:bottom w:val="nil"/>
              <w:right w:val="thinThickMediumGap" w:sz="2" w:space="0" w:color="000000"/>
            </w:tcBorders>
          </w:tcPr>
          <w:p>
            <w:pPr>
              <w:pStyle w:val="TableParagraph"/>
              <w:rPr>
                <w:rFonts w:ascii="Times New Roman"/>
                <w:sz w:val="10"/>
              </w:rPr>
            </w:pPr>
          </w:p>
        </w:tc>
        <w:tc>
          <w:tcPr>
            <w:tcW w:w="1133" w:type="dxa"/>
            <w:tcBorders>
              <w:top w:val="single" w:sz="6" w:space="0" w:color="000000"/>
              <w:left w:val="thickThinMediumGap" w:sz="2" w:space="0" w:color="000000"/>
              <w:bottom w:val="nil"/>
              <w:right w:val="single" w:sz="6" w:space="0" w:color="000000"/>
            </w:tcBorders>
          </w:tcPr>
          <w:p>
            <w:pPr>
              <w:pStyle w:val="TableParagraph"/>
              <w:spacing w:line="139" w:lineRule="exact" w:before="5"/>
              <w:ind w:right="61"/>
              <w:jc w:val="right"/>
              <w:rPr>
                <w:rFonts w:ascii="Arial"/>
                <w:sz w:val="13"/>
              </w:rPr>
            </w:pPr>
            <w:r>
              <w:rPr>
                <w:rFonts w:ascii="Arial"/>
                <w:w w:val="105"/>
                <w:sz w:val="13"/>
              </w:rPr>
              <w:t>129.935</w:t>
            </w:r>
          </w:p>
        </w:tc>
        <w:tc>
          <w:tcPr>
            <w:tcW w:w="975" w:type="dxa"/>
            <w:tcBorders>
              <w:top w:val="single" w:sz="6" w:space="0" w:color="000000"/>
              <w:left w:val="single" w:sz="6" w:space="0" w:color="000000"/>
              <w:bottom w:val="nil"/>
              <w:right w:val="single" w:sz="6" w:space="0" w:color="000000"/>
            </w:tcBorders>
          </w:tcPr>
          <w:p>
            <w:pPr>
              <w:pStyle w:val="TableParagraph"/>
              <w:rPr>
                <w:rFonts w:ascii="Times New Roman"/>
                <w:sz w:val="10"/>
              </w:rPr>
            </w:pPr>
          </w:p>
        </w:tc>
        <w:tc>
          <w:tcPr>
            <w:tcW w:w="970" w:type="dxa"/>
            <w:tcBorders>
              <w:top w:val="single" w:sz="6" w:space="0" w:color="000000"/>
              <w:left w:val="single" w:sz="6" w:space="0" w:color="000000"/>
              <w:bottom w:val="nil"/>
            </w:tcBorders>
          </w:tcPr>
          <w:p>
            <w:pPr>
              <w:pStyle w:val="TableParagraph"/>
              <w:rPr>
                <w:rFonts w:ascii="Times New Roman"/>
                <w:sz w:val="10"/>
              </w:rPr>
            </w:pPr>
          </w:p>
        </w:tc>
      </w:tr>
      <w:tr>
        <w:trPr>
          <w:trHeight w:val="169" w:hRule="atLeast"/>
        </w:trPr>
        <w:tc>
          <w:tcPr>
            <w:tcW w:w="1162" w:type="dxa"/>
            <w:tcBorders>
              <w:top w:val="nil"/>
              <w:left w:val="single" w:sz="4" w:space="0" w:color="000000"/>
              <w:bottom w:val="nil"/>
            </w:tcBorders>
          </w:tcPr>
          <w:p>
            <w:pPr>
              <w:pStyle w:val="TableParagraph"/>
              <w:spacing w:line="140" w:lineRule="exact" w:before="9"/>
              <w:ind w:left="26"/>
              <w:rPr>
                <w:rFonts w:ascii="Arial" w:hAnsi="Arial"/>
                <w:sz w:val="13"/>
              </w:rPr>
            </w:pPr>
            <w:r>
              <w:rPr>
                <w:rFonts w:ascii="Arial" w:hAnsi="Arial"/>
                <w:w w:val="105"/>
                <w:sz w:val="13"/>
              </w:rPr>
              <w:t>Caña Azúcar (ton)</w:t>
            </w:r>
          </w:p>
        </w:tc>
        <w:tc>
          <w:tcPr>
            <w:tcW w:w="977" w:type="dxa"/>
            <w:tcBorders>
              <w:top w:val="nil"/>
              <w:bottom w:val="nil"/>
              <w:right w:val="single" w:sz="4" w:space="0" w:color="000000"/>
            </w:tcBorders>
          </w:tcPr>
          <w:p>
            <w:pPr>
              <w:pStyle w:val="TableParagraph"/>
              <w:spacing w:line="140" w:lineRule="exact" w:before="9"/>
              <w:ind w:right="54"/>
              <w:jc w:val="right"/>
              <w:rPr>
                <w:rFonts w:ascii="Arial"/>
                <w:sz w:val="13"/>
              </w:rPr>
            </w:pPr>
            <w:r>
              <w:rPr>
                <w:rFonts w:ascii="Arial"/>
                <w:w w:val="105"/>
                <w:sz w:val="13"/>
              </w:rPr>
              <w:t>4.796.550</w:t>
            </w:r>
          </w:p>
        </w:tc>
        <w:tc>
          <w:tcPr>
            <w:tcW w:w="974" w:type="dxa"/>
            <w:tcBorders>
              <w:top w:val="nil"/>
              <w:left w:val="single" w:sz="4" w:space="0" w:color="000000"/>
              <w:bottom w:val="nil"/>
              <w:right w:val="single" w:sz="6" w:space="0" w:color="000000"/>
            </w:tcBorders>
          </w:tcPr>
          <w:p>
            <w:pPr>
              <w:pStyle w:val="TableParagraph"/>
              <w:spacing w:line="140" w:lineRule="exact" w:before="9"/>
              <w:ind w:right="51"/>
              <w:jc w:val="right"/>
              <w:rPr>
                <w:rFonts w:ascii="Arial"/>
                <w:sz w:val="13"/>
              </w:rPr>
            </w:pPr>
            <w:r>
              <w:rPr>
                <w:rFonts w:ascii="Arial"/>
                <w:w w:val="105"/>
                <w:sz w:val="13"/>
              </w:rPr>
              <w:t>9.779.557</w:t>
            </w:r>
          </w:p>
        </w:tc>
        <w:tc>
          <w:tcPr>
            <w:tcW w:w="973" w:type="dxa"/>
            <w:tcBorders>
              <w:top w:val="nil"/>
              <w:left w:val="single" w:sz="6" w:space="0" w:color="000000"/>
              <w:bottom w:val="nil"/>
              <w:right w:val="single" w:sz="6" w:space="0" w:color="000000"/>
            </w:tcBorders>
          </w:tcPr>
          <w:p>
            <w:pPr>
              <w:pStyle w:val="TableParagraph"/>
              <w:spacing w:line="140" w:lineRule="exact" w:before="9"/>
              <w:ind w:right="52"/>
              <w:jc w:val="right"/>
              <w:rPr>
                <w:rFonts w:ascii="Arial"/>
                <w:sz w:val="13"/>
              </w:rPr>
            </w:pPr>
            <w:r>
              <w:rPr>
                <w:rFonts w:ascii="Arial"/>
                <w:w w:val="105"/>
                <w:sz w:val="13"/>
              </w:rPr>
              <w:t>4.983.007</w:t>
            </w:r>
          </w:p>
        </w:tc>
        <w:tc>
          <w:tcPr>
            <w:tcW w:w="975" w:type="dxa"/>
            <w:tcBorders>
              <w:top w:val="nil"/>
              <w:left w:val="single" w:sz="6" w:space="0" w:color="000000"/>
              <w:bottom w:val="nil"/>
              <w:right w:val="single" w:sz="6" w:space="0" w:color="000000"/>
            </w:tcBorders>
          </w:tcPr>
          <w:p>
            <w:pPr>
              <w:pStyle w:val="TableParagraph"/>
              <w:rPr>
                <w:rFonts w:ascii="Times New Roman"/>
                <w:sz w:val="10"/>
              </w:rPr>
            </w:pPr>
          </w:p>
        </w:tc>
        <w:tc>
          <w:tcPr>
            <w:tcW w:w="973" w:type="dxa"/>
            <w:tcBorders>
              <w:top w:val="nil"/>
              <w:left w:val="single" w:sz="6" w:space="0" w:color="000000"/>
              <w:bottom w:val="nil"/>
              <w:right w:val="thinThickMediumGap" w:sz="2" w:space="0" w:color="000000"/>
            </w:tcBorders>
          </w:tcPr>
          <w:p>
            <w:pPr>
              <w:pStyle w:val="TableParagraph"/>
              <w:rPr>
                <w:rFonts w:ascii="Times New Roman"/>
                <w:sz w:val="10"/>
              </w:rPr>
            </w:pPr>
          </w:p>
        </w:tc>
        <w:tc>
          <w:tcPr>
            <w:tcW w:w="1133" w:type="dxa"/>
            <w:tcBorders>
              <w:top w:val="nil"/>
              <w:left w:val="thickThinMediumGap" w:sz="2" w:space="0" w:color="000000"/>
              <w:bottom w:val="nil"/>
              <w:right w:val="single" w:sz="6" w:space="0" w:color="000000"/>
            </w:tcBorders>
          </w:tcPr>
          <w:p>
            <w:pPr>
              <w:pStyle w:val="TableParagraph"/>
              <w:spacing w:line="140" w:lineRule="exact" w:before="9"/>
              <w:ind w:right="61"/>
              <w:jc w:val="right"/>
              <w:rPr>
                <w:rFonts w:ascii="Arial"/>
                <w:sz w:val="13"/>
              </w:rPr>
            </w:pPr>
            <w:r>
              <w:rPr>
                <w:rFonts w:ascii="Arial"/>
                <w:w w:val="105"/>
                <w:sz w:val="13"/>
              </w:rPr>
              <w:t>4.983.007</w:t>
            </w:r>
          </w:p>
        </w:tc>
        <w:tc>
          <w:tcPr>
            <w:tcW w:w="975" w:type="dxa"/>
            <w:tcBorders>
              <w:top w:val="nil"/>
              <w:left w:val="single" w:sz="6" w:space="0" w:color="000000"/>
              <w:bottom w:val="nil"/>
              <w:right w:val="single" w:sz="6" w:space="0" w:color="000000"/>
            </w:tcBorders>
          </w:tcPr>
          <w:p>
            <w:pPr>
              <w:pStyle w:val="TableParagraph"/>
              <w:rPr>
                <w:rFonts w:ascii="Times New Roman"/>
                <w:sz w:val="10"/>
              </w:rPr>
            </w:pPr>
          </w:p>
        </w:tc>
        <w:tc>
          <w:tcPr>
            <w:tcW w:w="970" w:type="dxa"/>
            <w:tcBorders>
              <w:top w:val="nil"/>
              <w:left w:val="single" w:sz="6" w:space="0" w:color="000000"/>
              <w:bottom w:val="nil"/>
            </w:tcBorders>
          </w:tcPr>
          <w:p>
            <w:pPr>
              <w:pStyle w:val="TableParagraph"/>
              <w:rPr>
                <w:rFonts w:ascii="Times New Roman"/>
                <w:sz w:val="10"/>
              </w:rPr>
            </w:pPr>
          </w:p>
        </w:tc>
      </w:tr>
      <w:tr>
        <w:trPr>
          <w:trHeight w:val="169" w:hRule="atLeast"/>
        </w:trPr>
        <w:tc>
          <w:tcPr>
            <w:tcW w:w="1162" w:type="dxa"/>
            <w:tcBorders>
              <w:top w:val="nil"/>
              <w:left w:val="single" w:sz="4" w:space="0" w:color="000000"/>
              <w:bottom w:val="nil"/>
            </w:tcBorders>
          </w:tcPr>
          <w:p>
            <w:pPr>
              <w:pStyle w:val="TableParagraph"/>
              <w:spacing w:line="139" w:lineRule="exact" w:before="10"/>
              <w:ind w:left="26"/>
              <w:rPr>
                <w:rFonts w:ascii="Arial" w:hAnsi="Arial"/>
                <w:sz w:val="13"/>
              </w:rPr>
            </w:pPr>
            <w:r>
              <w:rPr>
                <w:rFonts w:ascii="Arial" w:hAnsi="Arial"/>
                <w:w w:val="105"/>
                <w:sz w:val="13"/>
              </w:rPr>
              <w:t>Etanol (bbl/año)</w:t>
            </w:r>
          </w:p>
        </w:tc>
        <w:tc>
          <w:tcPr>
            <w:tcW w:w="977" w:type="dxa"/>
            <w:tcBorders>
              <w:top w:val="nil"/>
              <w:bottom w:val="nil"/>
              <w:right w:val="single" w:sz="4" w:space="0" w:color="000000"/>
            </w:tcBorders>
          </w:tcPr>
          <w:p>
            <w:pPr>
              <w:pStyle w:val="TableParagraph"/>
              <w:rPr>
                <w:rFonts w:ascii="Times New Roman"/>
                <w:sz w:val="10"/>
              </w:rPr>
            </w:pPr>
          </w:p>
        </w:tc>
        <w:tc>
          <w:tcPr>
            <w:tcW w:w="974" w:type="dxa"/>
            <w:tcBorders>
              <w:top w:val="nil"/>
              <w:left w:val="single" w:sz="4" w:space="0" w:color="000000"/>
              <w:bottom w:val="nil"/>
              <w:right w:val="single" w:sz="6" w:space="0" w:color="000000"/>
            </w:tcBorders>
          </w:tcPr>
          <w:p>
            <w:pPr>
              <w:pStyle w:val="TableParagraph"/>
              <w:rPr>
                <w:rFonts w:ascii="Times New Roman"/>
                <w:sz w:val="10"/>
              </w:rPr>
            </w:pPr>
          </w:p>
        </w:tc>
        <w:tc>
          <w:tcPr>
            <w:tcW w:w="973" w:type="dxa"/>
            <w:tcBorders>
              <w:top w:val="nil"/>
              <w:left w:val="single" w:sz="6" w:space="0" w:color="000000"/>
              <w:bottom w:val="nil"/>
              <w:right w:val="single" w:sz="6" w:space="0" w:color="000000"/>
            </w:tcBorders>
          </w:tcPr>
          <w:p>
            <w:pPr>
              <w:pStyle w:val="TableParagraph"/>
              <w:spacing w:line="139" w:lineRule="exact" w:before="10"/>
              <w:ind w:right="52"/>
              <w:jc w:val="right"/>
              <w:rPr>
                <w:rFonts w:ascii="Arial"/>
                <w:sz w:val="13"/>
              </w:rPr>
            </w:pPr>
            <w:r>
              <w:rPr>
                <w:rFonts w:ascii="Arial"/>
                <w:w w:val="105"/>
                <w:sz w:val="13"/>
              </w:rPr>
              <w:t>2.351.505</w:t>
            </w:r>
          </w:p>
        </w:tc>
        <w:tc>
          <w:tcPr>
            <w:tcW w:w="975" w:type="dxa"/>
            <w:tcBorders>
              <w:top w:val="nil"/>
              <w:left w:val="single" w:sz="6" w:space="0" w:color="000000"/>
              <w:bottom w:val="nil"/>
              <w:right w:val="single" w:sz="6" w:space="0" w:color="000000"/>
            </w:tcBorders>
          </w:tcPr>
          <w:p>
            <w:pPr>
              <w:pStyle w:val="TableParagraph"/>
              <w:spacing w:line="139" w:lineRule="exact" w:before="10"/>
              <w:ind w:right="55"/>
              <w:jc w:val="right"/>
              <w:rPr>
                <w:rFonts w:ascii="Arial"/>
                <w:sz w:val="13"/>
              </w:rPr>
            </w:pPr>
            <w:r>
              <w:rPr>
                <w:rFonts w:ascii="Arial"/>
                <w:w w:val="105"/>
                <w:sz w:val="13"/>
              </w:rPr>
              <w:t>837.000</w:t>
            </w:r>
          </w:p>
        </w:tc>
        <w:tc>
          <w:tcPr>
            <w:tcW w:w="973" w:type="dxa"/>
            <w:tcBorders>
              <w:top w:val="nil"/>
              <w:left w:val="single" w:sz="6" w:space="0" w:color="000000"/>
              <w:bottom w:val="nil"/>
              <w:right w:val="thinThickMediumGap" w:sz="2" w:space="0" w:color="000000"/>
            </w:tcBorders>
          </w:tcPr>
          <w:p>
            <w:pPr>
              <w:pStyle w:val="TableParagraph"/>
              <w:spacing w:line="139" w:lineRule="exact" w:before="10"/>
              <w:ind w:right="54"/>
              <w:jc w:val="right"/>
              <w:rPr>
                <w:rFonts w:ascii="Arial"/>
                <w:sz w:val="13"/>
              </w:rPr>
            </w:pPr>
            <w:r>
              <w:rPr>
                <w:rFonts w:ascii="Arial"/>
                <w:w w:val="105"/>
                <w:sz w:val="13"/>
              </w:rPr>
              <w:t>1.514.505</w:t>
            </w:r>
          </w:p>
        </w:tc>
        <w:tc>
          <w:tcPr>
            <w:tcW w:w="1133" w:type="dxa"/>
            <w:tcBorders>
              <w:top w:val="nil"/>
              <w:left w:val="thickThinMediumGap" w:sz="2" w:space="0" w:color="000000"/>
              <w:bottom w:val="nil"/>
              <w:right w:val="single" w:sz="6" w:space="0" w:color="000000"/>
            </w:tcBorders>
          </w:tcPr>
          <w:p>
            <w:pPr>
              <w:pStyle w:val="TableParagraph"/>
              <w:spacing w:line="139" w:lineRule="exact" w:before="10"/>
              <w:ind w:right="61"/>
              <w:jc w:val="right"/>
              <w:rPr>
                <w:rFonts w:ascii="Arial"/>
                <w:sz w:val="13"/>
              </w:rPr>
            </w:pPr>
            <w:r>
              <w:rPr>
                <w:rFonts w:ascii="Arial"/>
                <w:w w:val="105"/>
                <w:sz w:val="13"/>
              </w:rPr>
              <w:t>2.351.505</w:t>
            </w:r>
          </w:p>
        </w:tc>
        <w:tc>
          <w:tcPr>
            <w:tcW w:w="975" w:type="dxa"/>
            <w:tcBorders>
              <w:top w:val="nil"/>
              <w:left w:val="single" w:sz="6" w:space="0" w:color="000000"/>
              <w:bottom w:val="nil"/>
              <w:right w:val="single" w:sz="6" w:space="0" w:color="000000"/>
            </w:tcBorders>
          </w:tcPr>
          <w:p>
            <w:pPr>
              <w:pStyle w:val="TableParagraph"/>
              <w:spacing w:line="139" w:lineRule="exact" w:before="10"/>
              <w:ind w:right="64"/>
              <w:jc w:val="right"/>
              <w:rPr>
                <w:rFonts w:ascii="Arial"/>
                <w:sz w:val="13"/>
              </w:rPr>
            </w:pPr>
            <w:r>
              <w:rPr>
                <w:rFonts w:ascii="Arial"/>
                <w:w w:val="105"/>
                <w:sz w:val="13"/>
              </w:rPr>
              <w:t>927.000</w:t>
            </w:r>
          </w:p>
        </w:tc>
        <w:tc>
          <w:tcPr>
            <w:tcW w:w="970" w:type="dxa"/>
            <w:tcBorders>
              <w:top w:val="nil"/>
              <w:left w:val="single" w:sz="6" w:space="0" w:color="000000"/>
              <w:bottom w:val="nil"/>
            </w:tcBorders>
          </w:tcPr>
          <w:p>
            <w:pPr>
              <w:pStyle w:val="TableParagraph"/>
              <w:spacing w:line="139" w:lineRule="exact" w:before="10"/>
              <w:ind w:right="50"/>
              <w:jc w:val="right"/>
              <w:rPr>
                <w:rFonts w:ascii="Arial"/>
                <w:sz w:val="13"/>
              </w:rPr>
            </w:pPr>
            <w:r>
              <w:rPr>
                <w:rFonts w:ascii="Arial"/>
                <w:w w:val="105"/>
                <w:sz w:val="13"/>
              </w:rPr>
              <w:t>1.424.505</w:t>
            </w:r>
          </w:p>
        </w:tc>
      </w:tr>
      <w:tr>
        <w:trPr>
          <w:trHeight w:val="159" w:hRule="atLeast"/>
        </w:trPr>
        <w:tc>
          <w:tcPr>
            <w:tcW w:w="1162" w:type="dxa"/>
            <w:tcBorders>
              <w:top w:val="nil"/>
              <w:left w:val="single" w:sz="4" w:space="0" w:color="000000"/>
              <w:bottom w:val="single" w:sz="6" w:space="0" w:color="000000"/>
            </w:tcBorders>
          </w:tcPr>
          <w:p>
            <w:pPr>
              <w:pStyle w:val="TableParagraph"/>
              <w:spacing w:line="130" w:lineRule="exact" w:before="9"/>
              <w:ind w:left="26"/>
              <w:rPr>
                <w:rFonts w:ascii="Arial" w:hAnsi="Arial"/>
                <w:sz w:val="13"/>
              </w:rPr>
            </w:pPr>
            <w:r>
              <w:rPr>
                <w:rFonts w:ascii="Arial" w:hAnsi="Arial"/>
                <w:w w:val="105"/>
                <w:sz w:val="13"/>
              </w:rPr>
              <w:t>Etanol (litros/día)</w:t>
            </w:r>
          </w:p>
        </w:tc>
        <w:tc>
          <w:tcPr>
            <w:tcW w:w="977" w:type="dxa"/>
            <w:tcBorders>
              <w:top w:val="nil"/>
              <w:bottom w:val="single" w:sz="6" w:space="0" w:color="000000"/>
              <w:right w:val="single" w:sz="4" w:space="0" w:color="000000"/>
            </w:tcBorders>
          </w:tcPr>
          <w:p>
            <w:pPr>
              <w:pStyle w:val="TableParagraph"/>
              <w:rPr>
                <w:rFonts w:ascii="Times New Roman"/>
                <w:sz w:val="10"/>
              </w:rPr>
            </w:pPr>
          </w:p>
        </w:tc>
        <w:tc>
          <w:tcPr>
            <w:tcW w:w="974" w:type="dxa"/>
            <w:tcBorders>
              <w:top w:val="nil"/>
              <w:left w:val="single" w:sz="4" w:space="0" w:color="000000"/>
              <w:bottom w:val="single" w:sz="6" w:space="0" w:color="000000"/>
              <w:right w:val="single" w:sz="6" w:space="0" w:color="000000"/>
            </w:tcBorders>
          </w:tcPr>
          <w:p>
            <w:pPr>
              <w:pStyle w:val="TableParagraph"/>
              <w:rPr>
                <w:rFonts w:ascii="Times New Roman"/>
                <w:sz w:val="10"/>
              </w:rPr>
            </w:pPr>
          </w:p>
        </w:tc>
        <w:tc>
          <w:tcPr>
            <w:tcW w:w="973" w:type="dxa"/>
            <w:tcBorders>
              <w:top w:val="nil"/>
              <w:left w:val="single" w:sz="6" w:space="0" w:color="000000"/>
              <w:bottom w:val="single" w:sz="6" w:space="0" w:color="000000"/>
              <w:right w:val="single" w:sz="6" w:space="0" w:color="000000"/>
            </w:tcBorders>
          </w:tcPr>
          <w:p>
            <w:pPr>
              <w:pStyle w:val="TableParagraph"/>
              <w:spacing w:line="130" w:lineRule="exact" w:before="9"/>
              <w:ind w:right="59"/>
              <w:jc w:val="right"/>
              <w:rPr>
                <w:rFonts w:ascii="Arial"/>
                <w:sz w:val="13"/>
              </w:rPr>
            </w:pPr>
            <w:r>
              <w:rPr>
                <w:rFonts w:ascii="Arial"/>
                <w:w w:val="105"/>
                <w:sz w:val="13"/>
              </w:rPr>
              <w:t>1.024.161</w:t>
            </w:r>
          </w:p>
        </w:tc>
        <w:tc>
          <w:tcPr>
            <w:tcW w:w="975" w:type="dxa"/>
            <w:tcBorders>
              <w:top w:val="nil"/>
              <w:left w:val="single" w:sz="6" w:space="0" w:color="000000"/>
              <w:bottom w:val="single" w:sz="6" w:space="0" w:color="000000"/>
              <w:right w:val="single" w:sz="6" w:space="0" w:color="000000"/>
            </w:tcBorders>
          </w:tcPr>
          <w:p>
            <w:pPr>
              <w:pStyle w:val="TableParagraph"/>
              <w:spacing w:line="130" w:lineRule="exact" w:before="9"/>
              <w:ind w:right="62"/>
              <w:jc w:val="right"/>
              <w:rPr>
                <w:rFonts w:ascii="Arial"/>
                <w:sz w:val="13"/>
              </w:rPr>
            </w:pPr>
            <w:r>
              <w:rPr>
                <w:rFonts w:ascii="Arial"/>
                <w:w w:val="105"/>
                <w:sz w:val="13"/>
              </w:rPr>
              <w:t>364.542</w:t>
            </w:r>
          </w:p>
        </w:tc>
        <w:tc>
          <w:tcPr>
            <w:tcW w:w="973" w:type="dxa"/>
            <w:tcBorders>
              <w:top w:val="nil"/>
              <w:left w:val="single" w:sz="6" w:space="0" w:color="000000"/>
              <w:bottom w:val="single" w:sz="6" w:space="0" w:color="000000"/>
              <w:right w:val="thinThickMediumGap" w:sz="2" w:space="0" w:color="000000"/>
            </w:tcBorders>
          </w:tcPr>
          <w:p>
            <w:pPr>
              <w:pStyle w:val="TableParagraph"/>
              <w:spacing w:line="130" w:lineRule="exact" w:before="9"/>
              <w:ind w:right="63"/>
              <w:jc w:val="right"/>
              <w:rPr>
                <w:rFonts w:ascii="Arial"/>
                <w:sz w:val="13"/>
              </w:rPr>
            </w:pPr>
            <w:r>
              <w:rPr>
                <w:rFonts w:ascii="Arial"/>
                <w:w w:val="105"/>
                <w:sz w:val="13"/>
              </w:rPr>
              <w:t>659.619</w:t>
            </w:r>
          </w:p>
        </w:tc>
        <w:tc>
          <w:tcPr>
            <w:tcW w:w="1133" w:type="dxa"/>
            <w:tcBorders>
              <w:top w:val="nil"/>
              <w:left w:val="thickThinMediumGap" w:sz="2" w:space="0" w:color="000000"/>
              <w:bottom w:val="single" w:sz="6" w:space="0" w:color="000000"/>
              <w:right w:val="single" w:sz="6" w:space="0" w:color="000000"/>
            </w:tcBorders>
          </w:tcPr>
          <w:p>
            <w:pPr>
              <w:pStyle w:val="TableParagraph"/>
              <w:spacing w:line="130" w:lineRule="exact" w:before="9"/>
              <w:ind w:right="61"/>
              <w:jc w:val="right"/>
              <w:rPr>
                <w:rFonts w:ascii="Arial"/>
                <w:sz w:val="13"/>
              </w:rPr>
            </w:pPr>
            <w:r>
              <w:rPr>
                <w:rFonts w:ascii="Arial"/>
                <w:w w:val="105"/>
                <w:sz w:val="13"/>
              </w:rPr>
              <w:t>1.024.161</w:t>
            </w:r>
          </w:p>
        </w:tc>
        <w:tc>
          <w:tcPr>
            <w:tcW w:w="975" w:type="dxa"/>
            <w:tcBorders>
              <w:top w:val="nil"/>
              <w:left w:val="single" w:sz="6" w:space="0" w:color="000000"/>
              <w:bottom w:val="single" w:sz="6" w:space="0" w:color="000000"/>
              <w:right w:val="single" w:sz="6" w:space="0" w:color="000000"/>
            </w:tcBorders>
          </w:tcPr>
          <w:p>
            <w:pPr>
              <w:pStyle w:val="TableParagraph"/>
              <w:spacing w:line="130" w:lineRule="exact" w:before="9"/>
              <w:ind w:right="64"/>
              <w:jc w:val="right"/>
              <w:rPr>
                <w:rFonts w:ascii="Arial"/>
                <w:sz w:val="13"/>
              </w:rPr>
            </w:pPr>
            <w:r>
              <w:rPr>
                <w:rFonts w:ascii="Arial"/>
                <w:w w:val="105"/>
                <w:sz w:val="13"/>
              </w:rPr>
              <w:t>403.740</w:t>
            </w:r>
          </w:p>
        </w:tc>
        <w:tc>
          <w:tcPr>
            <w:tcW w:w="970" w:type="dxa"/>
            <w:tcBorders>
              <w:top w:val="nil"/>
              <w:left w:val="single" w:sz="6" w:space="0" w:color="000000"/>
              <w:bottom w:val="single" w:sz="6" w:space="0" w:color="000000"/>
            </w:tcBorders>
          </w:tcPr>
          <w:p>
            <w:pPr>
              <w:pStyle w:val="TableParagraph"/>
              <w:spacing w:line="130" w:lineRule="exact" w:before="9"/>
              <w:ind w:right="59"/>
              <w:jc w:val="right"/>
              <w:rPr>
                <w:rFonts w:ascii="Arial"/>
                <w:sz w:val="13"/>
              </w:rPr>
            </w:pPr>
            <w:r>
              <w:rPr>
                <w:rFonts w:ascii="Arial"/>
                <w:w w:val="105"/>
                <w:sz w:val="13"/>
              </w:rPr>
              <w:t>620.421</w:t>
            </w:r>
          </w:p>
        </w:tc>
      </w:tr>
    </w:tbl>
    <w:p>
      <w:pPr>
        <w:pStyle w:val="BodyText"/>
        <w:spacing w:before="10"/>
        <w:rPr>
          <w:rFonts w:ascii="Arial"/>
          <w:b/>
          <w:sz w:val="15"/>
        </w:rPr>
      </w:pPr>
    </w:p>
    <w:p>
      <w:pPr>
        <w:spacing w:before="0"/>
        <w:ind w:left="282" w:right="0" w:firstLine="0"/>
        <w:jc w:val="left"/>
        <w:rPr>
          <w:rFonts w:ascii="Arial"/>
          <w:b/>
          <w:sz w:val="13"/>
        </w:rPr>
      </w:pPr>
      <w:r>
        <w:rPr>
          <w:rFonts w:ascii="Arial"/>
          <w:b/>
          <w:spacing w:val="-4"/>
          <w:w w:val="105"/>
          <w:sz w:val="13"/>
        </w:rPr>
        <w:t>ESCENARIO</w:t>
      </w:r>
      <w:r>
        <w:rPr>
          <w:rFonts w:ascii="Arial"/>
          <w:b/>
          <w:spacing w:val="6"/>
          <w:w w:val="105"/>
          <w:sz w:val="13"/>
        </w:rPr>
        <w:t> </w:t>
      </w:r>
      <w:r>
        <w:rPr>
          <w:rFonts w:ascii="Arial"/>
          <w:b/>
          <w:spacing w:val="-5"/>
          <w:w w:val="105"/>
          <w:sz w:val="13"/>
        </w:rPr>
        <w:t>ALTO</w:t>
      </w:r>
    </w:p>
    <w:p>
      <w:pPr>
        <w:pStyle w:val="BodyText"/>
        <w:spacing w:before="10"/>
        <w:rPr>
          <w:rFonts w:ascii="Arial"/>
          <w:b/>
          <w:sz w:val="13"/>
        </w:rPr>
      </w:pPr>
    </w:p>
    <w:tbl>
      <w:tblPr>
        <w:tblW w:w="0" w:type="auto"/>
        <w:jc w:val="left"/>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62"/>
        <w:gridCol w:w="977"/>
        <w:gridCol w:w="974"/>
        <w:gridCol w:w="973"/>
        <w:gridCol w:w="975"/>
        <w:gridCol w:w="973"/>
        <w:gridCol w:w="1133"/>
        <w:gridCol w:w="975"/>
        <w:gridCol w:w="970"/>
      </w:tblGrid>
      <w:tr>
        <w:trPr>
          <w:trHeight w:val="333" w:hRule="atLeast"/>
        </w:trPr>
        <w:tc>
          <w:tcPr>
            <w:tcW w:w="1162" w:type="dxa"/>
            <w:tcBorders>
              <w:top w:val="nil"/>
              <w:left w:val="nil"/>
              <w:right w:val="single" w:sz="8" w:space="0" w:color="000000"/>
            </w:tcBorders>
          </w:tcPr>
          <w:p>
            <w:pPr>
              <w:pStyle w:val="TableParagraph"/>
              <w:rPr>
                <w:rFonts w:ascii="Times New Roman"/>
                <w:sz w:val="18"/>
              </w:rPr>
            </w:pPr>
          </w:p>
        </w:tc>
        <w:tc>
          <w:tcPr>
            <w:tcW w:w="977" w:type="dxa"/>
            <w:tcBorders>
              <w:left w:val="single" w:sz="8" w:space="0" w:color="000000"/>
              <w:bottom w:val="single" w:sz="4" w:space="0" w:color="000000"/>
              <w:right w:val="single" w:sz="4" w:space="0" w:color="000000"/>
            </w:tcBorders>
          </w:tcPr>
          <w:p>
            <w:pPr>
              <w:pStyle w:val="TableParagraph"/>
              <w:spacing w:before="7"/>
              <w:rPr>
                <w:rFonts w:ascii="Arial"/>
                <w:b/>
                <w:sz w:val="15"/>
              </w:rPr>
            </w:pPr>
          </w:p>
          <w:p>
            <w:pPr>
              <w:pStyle w:val="TableParagraph"/>
              <w:spacing w:line="133" w:lineRule="exact"/>
              <w:ind w:left="186"/>
              <w:rPr>
                <w:rFonts w:ascii="Arial"/>
                <w:sz w:val="13"/>
              </w:rPr>
            </w:pPr>
            <w:r>
              <w:rPr>
                <w:rFonts w:ascii="Arial"/>
                <w:w w:val="105"/>
                <w:sz w:val="13"/>
              </w:rPr>
              <w:t>Sembrada</w:t>
            </w:r>
          </w:p>
        </w:tc>
        <w:tc>
          <w:tcPr>
            <w:tcW w:w="974" w:type="dxa"/>
            <w:tcBorders>
              <w:left w:val="single" w:sz="4" w:space="0" w:color="000000"/>
              <w:bottom w:val="single" w:sz="4" w:space="0" w:color="000000"/>
            </w:tcBorders>
          </w:tcPr>
          <w:p>
            <w:pPr>
              <w:pStyle w:val="TableParagraph"/>
              <w:spacing w:before="7"/>
              <w:rPr>
                <w:rFonts w:ascii="Arial"/>
                <w:b/>
                <w:sz w:val="15"/>
              </w:rPr>
            </w:pPr>
          </w:p>
          <w:p>
            <w:pPr>
              <w:pStyle w:val="TableParagraph"/>
              <w:spacing w:line="133" w:lineRule="exact"/>
              <w:ind w:left="220"/>
              <w:rPr>
                <w:rFonts w:ascii="Arial"/>
                <w:sz w:val="13"/>
              </w:rPr>
            </w:pPr>
            <w:r>
              <w:rPr>
                <w:rFonts w:ascii="Arial"/>
                <w:w w:val="105"/>
                <w:sz w:val="13"/>
              </w:rPr>
              <w:t>Potencial</w:t>
            </w:r>
          </w:p>
        </w:tc>
        <w:tc>
          <w:tcPr>
            <w:tcW w:w="973" w:type="dxa"/>
            <w:tcBorders>
              <w:bottom w:val="single" w:sz="4" w:space="0" w:color="000000"/>
            </w:tcBorders>
          </w:tcPr>
          <w:p>
            <w:pPr>
              <w:pStyle w:val="TableParagraph"/>
              <w:spacing w:before="12"/>
              <w:ind w:left="273"/>
              <w:rPr>
                <w:rFonts w:ascii="Arial"/>
                <w:sz w:val="13"/>
              </w:rPr>
            </w:pPr>
            <w:r>
              <w:rPr>
                <w:rFonts w:ascii="Arial"/>
                <w:spacing w:val="-6"/>
                <w:w w:val="105"/>
                <w:sz w:val="13"/>
              </w:rPr>
              <w:t>Nuevos</w:t>
            </w:r>
          </w:p>
          <w:p>
            <w:pPr>
              <w:pStyle w:val="TableParagraph"/>
              <w:spacing w:line="133" w:lineRule="exact" w:before="18"/>
              <w:ind w:left="280"/>
              <w:rPr>
                <w:rFonts w:ascii="Arial"/>
                <w:sz w:val="13"/>
              </w:rPr>
            </w:pPr>
            <w:r>
              <w:rPr>
                <w:rFonts w:ascii="Arial"/>
                <w:spacing w:val="-5"/>
                <w:w w:val="105"/>
                <w:sz w:val="13"/>
              </w:rPr>
              <w:t>Cultivos</w:t>
            </w:r>
          </w:p>
        </w:tc>
        <w:tc>
          <w:tcPr>
            <w:tcW w:w="975" w:type="dxa"/>
            <w:tcBorders>
              <w:bottom w:val="single" w:sz="4" w:space="0" w:color="000000"/>
            </w:tcBorders>
          </w:tcPr>
          <w:p>
            <w:pPr>
              <w:pStyle w:val="TableParagraph"/>
              <w:spacing w:before="12"/>
              <w:ind w:left="165" w:right="159"/>
              <w:jc w:val="center"/>
              <w:rPr>
                <w:rFonts w:ascii="Arial"/>
                <w:sz w:val="13"/>
              </w:rPr>
            </w:pPr>
            <w:r>
              <w:rPr>
                <w:rFonts w:ascii="Arial"/>
                <w:w w:val="105"/>
                <w:sz w:val="13"/>
              </w:rPr>
              <w:t>Demanda</w:t>
            </w:r>
          </w:p>
          <w:p>
            <w:pPr>
              <w:pStyle w:val="TableParagraph"/>
              <w:spacing w:line="133" w:lineRule="exact" w:before="18"/>
              <w:ind w:left="165" w:right="151"/>
              <w:jc w:val="center"/>
              <w:rPr>
                <w:rFonts w:ascii="Arial"/>
                <w:sz w:val="13"/>
              </w:rPr>
            </w:pPr>
            <w:r>
              <w:rPr>
                <w:rFonts w:ascii="Arial"/>
                <w:w w:val="105"/>
                <w:sz w:val="13"/>
              </w:rPr>
              <w:t>E10</w:t>
            </w:r>
          </w:p>
        </w:tc>
        <w:tc>
          <w:tcPr>
            <w:tcW w:w="973" w:type="dxa"/>
            <w:tcBorders>
              <w:bottom w:val="single" w:sz="4" w:space="0" w:color="000000"/>
              <w:right w:val="thinThickMediumGap" w:sz="2" w:space="0" w:color="000000"/>
            </w:tcBorders>
          </w:tcPr>
          <w:p>
            <w:pPr>
              <w:pStyle w:val="TableParagraph"/>
              <w:spacing w:before="12"/>
              <w:ind w:left="173"/>
              <w:rPr>
                <w:rFonts w:ascii="Arial"/>
                <w:sz w:val="13"/>
              </w:rPr>
            </w:pPr>
            <w:r>
              <w:rPr>
                <w:rFonts w:ascii="Arial"/>
                <w:spacing w:val="-4"/>
                <w:w w:val="105"/>
                <w:sz w:val="13"/>
              </w:rPr>
              <w:t>Excedente</w:t>
            </w:r>
          </w:p>
          <w:p>
            <w:pPr>
              <w:pStyle w:val="TableParagraph"/>
              <w:spacing w:line="133" w:lineRule="exact" w:before="18"/>
              <w:ind w:left="173"/>
              <w:rPr>
                <w:rFonts w:ascii="Arial"/>
                <w:sz w:val="13"/>
              </w:rPr>
            </w:pPr>
            <w:r>
              <w:rPr>
                <w:rFonts w:ascii="Arial"/>
                <w:spacing w:val="-4"/>
                <w:w w:val="105"/>
                <w:sz w:val="13"/>
              </w:rPr>
              <w:t>Exportable</w:t>
            </w:r>
          </w:p>
        </w:tc>
        <w:tc>
          <w:tcPr>
            <w:tcW w:w="1133" w:type="dxa"/>
            <w:tcBorders>
              <w:left w:val="thickThinMediumGap" w:sz="2" w:space="0" w:color="000000"/>
            </w:tcBorders>
          </w:tcPr>
          <w:p>
            <w:pPr>
              <w:pStyle w:val="TableParagraph"/>
              <w:spacing w:before="12"/>
              <w:ind w:left="326"/>
              <w:rPr>
                <w:rFonts w:ascii="Arial"/>
                <w:sz w:val="13"/>
              </w:rPr>
            </w:pPr>
            <w:r>
              <w:rPr>
                <w:rFonts w:ascii="Arial"/>
                <w:spacing w:val="-6"/>
                <w:w w:val="105"/>
                <w:sz w:val="13"/>
              </w:rPr>
              <w:t>Nuevos</w:t>
            </w:r>
          </w:p>
          <w:p>
            <w:pPr>
              <w:pStyle w:val="TableParagraph"/>
              <w:spacing w:line="133" w:lineRule="exact" w:before="18"/>
              <w:ind w:left="336"/>
              <w:rPr>
                <w:rFonts w:ascii="Arial"/>
                <w:sz w:val="13"/>
              </w:rPr>
            </w:pPr>
            <w:r>
              <w:rPr>
                <w:rFonts w:ascii="Arial"/>
                <w:spacing w:val="-5"/>
                <w:w w:val="105"/>
                <w:sz w:val="13"/>
              </w:rPr>
              <w:t>Cultivos</w:t>
            </w:r>
          </w:p>
        </w:tc>
        <w:tc>
          <w:tcPr>
            <w:tcW w:w="975" w:type="dxa"/>
            <w:tcBorders>
              <w:bottom w:val="single" w:sz="4" w:space="0" w:color="000000"/>
            </w:tcBorders>
          </w:tcPr>
          <w:p>
            <w:pPr>
              <w:pStyle w:val="TableParagraph"/>
              <w:spacing w:before="12"/>
              <w:ind w:left="164" w:right="161"/>
              <w:jc w:val="center"/>
              <w:rPr>
                <w:rFonts w:ascii="Arial"/>
                <w:sz w:val="13"/>
              </w:rPr>
            </w:pPr>
            <w:r>
              <w:rPr>
                <w:rFonts w:ascii="Arial"/>
                <w:w w:val="105"/>
                <w:sz w:val="13"/>
              </w:rPr>
              <w:t>Demanda</w:t>
            </w:r>
          </w:p>
          <w:p>
            <w:pPr>
              <w:pStyle w:val="TableParagraph"/>
              <w:spacing w:line="133" w:lineRule="exact" w:before="18"/>
              <w:ind w:left="165" w:right="154"/>
              <w:jc w:val="center"/>
              <w:rPr>
                <w:rFonts w:ascii="Arial"/>
                <w:sz w:val="13"/>
              </w:rPr>
            </w:pPr>
            <w:r>
              <w:rPr>
                <w:rFonts w:ascii="Arial"/>
                <w:w w:val="105"/>
                <w:sz w:val="13"/>
              </w:rPr>
              <w:t>E10</w:t>
            </w:r>
          </w:p>
        </w:tc>
        <w:tc>
          <w:tcPr>
            <w:tcW w:w="970" w:type="dxa"/>
            <w:tcBorders>
              <w:bottom w:val="single" w:sz="4" w:space="0" w:color="000000"/>
              <w:right w:val="single" w:sz="8" w:space="0" w:color="000000"/>
            </w:tcBorders>
          </w:tcPr>
          <w:p>
            <w:pPr>
              <w:pStyle w:val="TableParagraph"/>
              <w:spacing w:before="12"/>
              <w:ind w:left="172"/>
              <w:rPr>
                <w:rFonts w:ascii="Arial"/>
                <w:sz w:val="13"/>
              </w:rPr>
            </w:pPr>
            <w:r>
              <w:rPr>
                <w:rFonts w:ascii="Arial"/>
                <w:spacing w:val="-4"/>
                <w:w w:val="105"/>
                <w:sz w:val="13"/>
              </w:rPr>
              <w:t>Excedente</w:t>
            </w:r>
          </w:p>
          <w:p>
            <w:pPr>
              <w:pStyle w:val="TableParagraph"/>
              <w:spacing w:line="133" w:lineRule="exact" w:before="18"/>
              <w:ind w:left="172"/>
              <w:rPr>
                <w:rFonts w:ascii="Arial"/>
                <w:sz w:val="13"/>
              </w:rPr>
            </w:pPr>
            <w:r>
              <w:rPr>
                <w:rFonts w:ascii="Arial"/>
                <w:spacing w:val="-5"/>
                <w:w w:val="105"/>
                <w:sz w:val="13"/>
              </w:rPr>
              <w:t>Exportable</w:t>
            </w:r>
          </w:p>
        </w:tc>
      </w:tr>
      <w:tr>
        <w:trPr>
          <w:trHeight w:val="167" w:hRule="atLeast"/>
        </w:trPr>
        <w:tc>
          <w:tcPr>
            <w:tcW w:w="1162" w:type="dxa"/>
            <w:tcBorders>
              <w:left w:val="single" w:sz="4" w:space="0" w:color="000000"/>
              <w:bottom w:val="nil"/>
              <w:right w:val="single" w:sz="8" w:space="0" w:color="000000"/>
            </w:tcBorders>
          </w:tcPr>
          <w:p>
            <w:pPr>
              <w:pStyle w:val="TableParagraph"/>
              <w:spacing w:line="139" w:lineRule="exact" w:before="9"/>
              <w:ind w:left="26"/>
              <w:rPr>
                <w:rFonts w:ascii="Arial" w:hAnsi="Arial"/>
                <w:sz w:val="13"/>
              </w:rPr>
            </w:pPr>
            <w:r>
              <w:rPr>
                <w:rFonts w:ascii="Arial" w:hAnsi="Arial"/>
                <w:w w:val="105"/>
                <w:sz w:val="13"/>
              </w:rPr>
              <w:t>Hectáreas</w:t>
            </w:r>
          </w:p>
        </w:tc>
        <w:tc>
          <w:tcPr>
            <w:tcW w:w="977" w:type="dxa"/>
            <w:tcBorders>
              <w:top w:val="single" w:sz="4" w:space="0" w:color="000000"/>
              <w:left w:val="single" w:sz="8" w:space="0" w:color="000000"/>
              <w:bottom w:val="nil"/>
              <w:right w:val="single" w:sz="4" w:space="0" w:color="000000"/>
            </w:tcBorders>
          </w:tcPr>
          <w:p>
            <w:pPr>
              <w:pStyle w:val="TableParagraph"/>
              <w:spacing w:line="139" w:lineRule="exact" w:before="9"/>
              <w:ind w:right="61"/>
              <w:jc w:val="right"/>
              <w:rPr>
                <w:rFonts w:ascii="Arial"/>
                <w:sz w:val="13"/>
              </w:rPr>
            </w:pPr>
            <w:r>
              <w:rPr>
                <w:rFonts w:ascii="Arial"/>
                <w:w w:val="105"/>
                <w:sz w:val="13"/>
              </w:rPr>
              <w:t>125.073</w:t>
            </w:r>
          </w:p>
        </w:tc>
        <w:tc>
          <w:tcPr>
            <w:tcW w:w="974" w:type="dxa"/>
            <w:tcBorders>
              <w:top w:val="single" w:sz="4" w:space="0" w:color="000000"/>
              <w:left w:val="single" w:sz="4" w:space="0" w:color="000000"/>
              <w:bottom w:val="nil"/>
            </w:tcBorders>
          </w:tcPr>
          <w:p>
            <w:pPr>
              <w:pStyle w:val="TableParagraph"/>
              <w:spacing w:line="139" w:lineRule="exact" w:before="9"/>
              <w:ind w:right="61"/>
              <w:jc w:val="right"/>
              <w:rPr>
                <w:rFonts w:ascii="Arial"/>
                <w:sz w:val="13"/>
              </w:rPr>
            </w:pPr>
            <w:r>
              <w:rPr>
                <w:rFonts w:ascii="Arial"/>
                <w:w w:val="105"/>
                <w:sz w:val="13"/>
              </w:rPr>
              <w:t>255.008</w:t>
            </w:r>
          </w:p>
        </w:tc>
        <w:tc>
          <w:tcPr>
            <w:tcW w:w="973" w:type="dxa"/>
            <w:tcBorders>
              <w:top w:val="single" w:sz="4" w:space="0" w:color="000000"/>
              <w:bottom w:val="nil"/>
            </w:tcBorders>
          </w:tcPr>
          <w:p>
            <w:pPr>
              <w:pStyle w:val="TableParagraph"/>
              <w:spacing w:line="139" w:lineRule="exact" w:before="9"/>
              <w:ind w:right="59"/>
              <w:jc w:val="right"/>
              <w:rPr>
                <w:rFonts w:ascii="Arial"/>
                <w:sz w:val="13"/>
              </w:rPr>
            </w:pPr>
            <w:r>
              <w:rPr>
                <w:rFonts w:ascii="Arial"/>
                <w:w w:val="105"/>
                <w:sz w:val="13"/>
              </w:rPr>
              <w:t>129.935</w:t>
            </w:r>
          </w:p>
        </w:tc>
        <w:tc>
          <w:tcPr>
            <w:tcW w:w="975" w:type="dxa"/>
            <w:tcBorders>
              <w:top w:val="single" w:sz="4" w:space="0" w:color="000000"/>
              <w:bottom w:val="nil"/>
            </w:tcBorders>
          </w:tcPr>
          <w:p>
            <w:pPr>
              <w:pStyle w:val="TableParagraph"/>
              <w:rPr>
                <w:rFonts w:ascii="Times New Roman"/>
                <w:sz w:val="10"/>
              </w:rPr>
            </w:pPr>
          </w:p>
        </w:tc>
        <w:tc>
          <w:tcPr>
            <w:tcW w:w="973" w:type="dxa"/>
            <w:tcBorders>
              <w:top w:val="single" w:sz="4" w:space="0" w:color="000000"/>
              <w:bottom w:val="nil"/>
              <w:right w:val="thinThickMediumGap" w:sz="2" w:space="0" w:color="000000"/>
            </w:tcBorders>
          </w:tcPr>
          <w:p>
            <w:pPr>
              <w:pStyle w:val="TableParagraph"/>
              <w:rPr>
                <w:rFonts w:ascii="Times New Roman"/>
                <w:sz w:val="10"/>
              </w:rPr>
            </w:pPr>
          </w:p>
        </w:tc>
        <w:tc>
          <w:tcPr>
            <w:tcW w:w="1133" w:type="dxa"/>
            <w:tcBorders>
              <w:left w:val="thickThinMediumGap" w:sz="2" w:space="0" w:color="000000"/>
              <w:bottom w:val="nil"/>
            </w:tcBorders>
          </w:tcPr>
          <w:p>
            <w:pPr>
              <w:pStyle w:val="TableParagraph"/>
              <w:spacing w:line="139" w:lineRule="exact" w:before="9"/>
              <w:ind w:right="61"/>
              <w:jc w:val="right"/>
              <w:rPr>
                <w:rFonts w:ascii="Arial"/>
                <w:sz w:val="13"/>
              </w:rPr>
            </w:pPr>
            <w:r>
              <w:rPr>
                <w:rFonts w:ascii="Arial"/>
                <w:w w:val="105"/>
                <w:sz w:val="13"/>
              </w:rPr>
              <w:t>700.000</w:t>
            </w:r>
          </w:p>
        </w:tc>
        <w:tc>
          <w:tcPr>
            <w:tcW w:w="975" w:type="dxa"/>
            <w:tcBorders>
              <w:top w:val="single" w:sz="4" w:space="0" w:color="000000"/>
              <w:bottom w:val="nil"/>
            </w:tcBorders>
          </w:tcPr>
          <w:p>
            <w:pPr>
              <w:pStyle w:val="TableParagraph"/>
              <w:rPr>
                <w:rFonts w:ascii="Times New Roman"/>
                <w:sz w:val="10"/>
              </w:rPr>
            </w:pPr>
          </w:p>
        </w:tc>
        <w:tc>
          <w:tcPr>
            <w:tcW w:w="970" w:type="dxa"/>
            <w:tcBorders>
              <w:top w:val="single" w:sz="4" w:space="0" w:color="000000"/>
              <w:bottom w:val="nil"/>
              <w:right w:val="single" w:sz="8" w:space="0" w:color="000000"/>
            </w:tcBorders>
          </w:tcPr>
          <w:p>
            <w:pPr>
              <w:pStyle w:val="TableParagraph"/>
              <w:rPr>
                <w:rFonts w:ascii="Times New Roman"/>
                <w:sz w:val="10"/>
              </w:rPr>
            </w:pPr>
          </w:p>
        </w:tc>
      </w:tr>
      <w:tr>
        <w:trPr>
          <w:trHeight w:val="169" w:hRule="atLeast"/>
        </w:trPr>
        <w:tc>
          <w:tcPr>
            <w:tcW w:w="1162" w:type="dxa"/>
            <w:tcBorders>
              <w:top w:val="nil"/>
              <w:left w:val="single" w:sz="4" w:space="0" w:color="000000"/>
              <w:bottom w:val="nil"/>
              <w:right w:val="single" w:sz="8" w:space="0" w:color="000000"/>
            </w:tcBorders>
          </w:tcPr>
          <w:p>
            <w:pPr>
              <w:pStyle w:val="TableParagraph"/>
              <w:spacing w:line="140" w:lineRule="exact" w:before="9"/>
              <w:ind w:left="26"/>
              <w:rPr>
                <w:rFonts w:ascii="Arial" w:hAnsi="Arial"/>
                <w:sz w:val="13"/>
              </w:rPr>
            </w:pPr>
            <w:r>
              <w:rPr>
                <w:rFonts w:ascii="Arial" w:hAnsi="Arial"/>
                <w:w w:val="105"/>
                <w:sz w:val="13"/>
              </w:rPr>
              <w:t>Caña Azúcar (ton)</w:t>
            </w:r>
          </w:p>
        </w:tc>
        <w:tc>
          <w:tcPr>
            <w:tcW w:w="977" w:type="dxa"/>
            <w:tcBorders>
              <w:top w:val="nil"/>
              <w:left w:val="single" w:sz="8" w:space="0" w:color="000000"/>
              <w:bottom w:val="nil"/>
              <w:right w:val="single" w:sz="4" w:space="0" w:color="000000"/>
            </w:tcBorders>
          </w:tcPr>
          <w:p>
            <w:pPr>
              <w:pStyle w:val="TableParagraph"/>
              <w:spacing w:line="140" w:lineRule="exact" w:before="9"/>
              <w:ind w:right="54"/>
              <w:jc w:val="right"/>
              <w:rPr>
                <w:rFonts w:ascii="Arial"/>
                <w:sz w:val="13"/>
              </w:rPr>
            </w:pPr>
            <w:r>
              <w:rPr>
                <w:rFonts w:ascii="Arial"/>
                <w:w w:val="105"/>
                <w:sz w:val="13"/>
              </w:rPr>
              <w:t>4.796.550</w:t>
            </w:r>
          </w:p>
        </w:tc>
        <w:tc>
          <w:tcPr>
            <w:tcW w:w="974" w:type="dxa"/>
            <w:tcBorders>
              <w:top w:val="nil"/>
              <w:left w:val="single" w:sz="4" w:space="0" w:color="000000"/>
              <w:bottom w:val="nil"/>
            </w:tcBorders>
          </w:tcPr>
          <w:p>
            <w:pPr>
              <w:pStyle w:val="TableParagraph"/>
              <w:spacing w:line="140" w:lineRule="exact" w:before="9"/>
              <w:ind w:right="51"/>
              <w:jc w:val="right"/>
              <w:rPr>
                <w:rFonts w:ascii="Arial"/>
                <w:sz w:val="13"/>
              </w:rPr>
            </w:pPr>
            <w:r>
              <w:rPr>
                <w:rFonts w:ascii="Arial"/>
                <w:w w:val="105"/>
                <w:sz w:val="13"/>
              </w:rPr>
              <w:t>9.779.557</w:t>
            </w:r>
          </w:p>
        </w:tc>
        <w:tc>
          <w:tcPr>
            <w:tcW w:w="973" w:type="dxa"/>
            <w:tcBorders>
              <w:top w:val="nil"/>
              <w:bottom w:val="nil"/>
            </w:tcBorders>
          </w:tcPr>
          <w:p>
            <w:pPr>
              <w:pStyle w:val="TableParagraph"/>
              <w:spacing w:line="140" w:lineRule="exact" w:before="9"/>
              <w:ind w:right="52"/>
              <w:jc w:val="right"/>
              <w:rPr>
                <w:rFonts w:ascii="Arial"/>
                <w:sz w:val="13"/>
              </w:rPr>
            </w:pPr>
            <w:r>
              <w:rPr>
                <w:rFonts w:ascii="Arial"/>
                <w:w w:val="105"/>
                <w:sz w:val="13"/>
              </w:rPr>
              <w:t>4.983.007</w:t>
            </w:r>
          </w:p>
        </w:tc>
        <w:tc>
          <w:tcPr>
            <w:tcW w:w="975" w:type="dxa"/>
            <w:tcBorders>
              <w:top w:val="nil"/>
              <w:bottom w:val="nil"/>
            </w:tcBorders>
          </w:tcPr>
          <w:p>
            <w:pPr>
              <w:pStyle w:val="TableParagraph"/>
              <w:rPr>
                <w:rFonts w:ascii="Times New Roman"/>
                <w:sz w:val="10"/>
              </w:rPr>
            </w:pPr>
          </w:p>
        </w:tc>
        <w:tc>
          <w:tcPr>
            <w:tcW w:w="973" w:type="dxa"/>
            <w:tcBorders>
              <w:top w:val="nil"/>
              <w:bottom w:val="nil"/>
              <w:right w:val="thinThickMediumGap" w:sz="2" w:space="0" w:color="000000"/>
            </w:tcBorders>
          </w:tcPr>
          <w:p>
            <w:pPr>
              <w:pStyle w:val="TableParagraph"/>
              <w:rPr>
                <w:rFonts w:ascii="Times New Roman"/>
                <w:sz w:val="10"/>
              </w:rPr>
            </w:pPr>
          </w:p>
        </w:tc>
        <w:tc>
          <w:tcPr>
            <w:tcW w:w="1133" w:type="dxa"/>
            <w:tcBorders>
              <w:top w:val="nil"/>
              <w:left w:val="thickThinMediumGap" w:sz="2" w:space="0" w:color="000000"/>
              <w:bottom w:val="nil"/>
            </w:tcBorders>
          </w:tcPr>
          <w:p>
            <w:pPr>
              <w:pStyle w:val="TableParagraph"/>
              <w:spacing w:line="140" w:lineRule="exact" w:before="9"/>
              <w:ind w:right="54"/>
              <w:jc w:val="right"/>
              <w:rPr>
                <w:rFonts w:ascii="Arial"/>
                <w:sz w:val="13"/>
              </w:rPr>
            </w:pPr>
            <w:r>
              <w:rPr>
                <w:rFonts w:ascii="Arial"/>
                <w:w w:val="105"/>
                <w:sz w:val="13"/>
              </w:rPr>
              <w:t>26.845.000</w:t>
            </w:r>
          </w:p>
        </w:tc>
        <w:tc>
          <w:tcPr>
            <w:tcW w:w="975" w:type="dxa"/>
            <w:tcBorders>
              <w:top w:val="nil"/>
              <w:bottom w:val="nil"/>
            </w:tcBorders>
          </w:tcPr>
          <w:p>
            <w:pPr>
              <w:pStyle w:val="TableParagraph"/>
              <w:rPr>
                <w:rFonts w:ascii="Times New Roman"/>
                <w:sz w:val="10"/>
              </w:rPr>
            </w:pPr>
          </w:p>
        </w:tc>
        <w:tc>
          <w:tcPr>
            <w:tcW w:w="970" w:type="dxa"/>
            <w:tcBorders>
              <w:top w:val="nil"/>
              <w:bottom w:val="nil"/>
              <w:right w:val="single" w:sz="8" w:space="0" w:color="000000"/>
            </w:tcBorders>
          </w:tcPr>
          <w:p>
            <w:pPr>
              <w:pStyle w:val="TableParagraph"/>
              <w:rPr>
                <w:rFonts w:ascii="Times New Roman"/>
                <w:sz w:val="10"/>
              </w:rPr>
            </w:pPr>
          </w:p>
        </w:tc>
      </w:tr>
      <w:tr>
        <w:trPr>
          <w:trHeight w:val="169" w:hRule="atLeast"/>
        </w:trPr>
        <w:tc>
          <w:tcPr>
            <w:tcW w:w="1162" w:type="dxa"/>
            <w:tcBorders>
              <w:top w:val="nil"/>
              <w:left w:val="single" w:sz="4" w:space="0" w:color="000000"/>
              <w:bottom w:val="nil"/>
              <w:right w:val="single" w:sz="8" w:space="0" w:color="000000"/>
            </w:tcBorders>
          </w:tcPr>
          <w:p>
            <w:pPr>
              <w:pStyle w:val="TableParagraph"/>
              <w:spacing w:line="139" w:lineRule="exact" w:before="10"/>
              <w:ind w:left="26"/>
              <w:rPr>
                <w:rFonts w:ascii="Arial" w:hAnsi="Arial"/>
                <w:sz w:val="13"/>
              </w:rPr>
            </w:pPr>
            <w:r>
              <w:rPr>
                <w:rFonts w:ascii="Arial" w:hAnsi="Arial"/>
                <w:w w:val="105"/>
                <w:sz w:val="13"/>
              </w:rPr>
              <w:t>Etanol (bbl/año)</w:t>
            </w:r>
          </w:p>
        </w:tc>
        <w:tc>
          <w:tcPr>
            <w:tcW w:w="977" w:type="dxa"/>
            <w:tcBorders>
              <w:top w:val="nil"/>
              <w:left w:val="single" w:sz="8" w:space="0" w:color="000000"/>
              <w:bottom w:val="nil"/>
              <w:right w:val="single" w:sz="4" w:space="0" w:color="000000"/>
            </w:tcBorders>
          </w:tcPr>
          <w:p>
            <w:pPr>
              <w:pStyle w:val="TableParagraph"/>
              <w:rPr>
                <w:rFonts w:ascii="Times New Roman"/>
                <w:sz w:val="10"/>
              </w:rPr>
            </w:pPr>
          </w:p>
        </w:tc>
        <w:tc>
          <w:tcPr>
            <w:tcW w:w="974" w:type="dxa"/>
            <w:tcBorders>
              <w:top w:val="nil"/>
              <w:left w:val="single" w:sz="4" w:space="0" w:color="000000"/>
              <w:bottom w:val="nil"/>
            </w:tcBorders>
          </w:tcPr>
          <w:p>
            <w:pPr>
              <w:pStyle w:val="TableParagraph"/>
              <w:rPr>
                <w:rFonts w:ascii="Times New Roman"/>
                <w:sz w:val="10"/>
              </w:rPr>
            </w:pPr>
          </w:p>
        </w:tc>
        <w:tc>
          <w:tcPr>
            <w:tcW w:w="973" w:type="dxa"/>
            <w:tcBorders>
              <w:top w:val="nil"/>
              <w:bottom w:val="nil"/>
            </w:tcBorders>
          </w:tcPr>
          <w:p>
            <w:pPr>
              <w:pStyle w:val="TableParagraph"/>
              <w:spacing w:line="139" w:lineRule="exact" w:before="10"/>
              <w:ind w:right="52"/>
              <w:jc w:val="right"/>
              <w:rPr>
                <w:rFonts w:ascii="Arial"/>
                <w:sz w:val="13"/>
              </w:rPr>
            </w:pPr>
            <w:r>
              <w:rPr>
                <w:rFonts w:ascii="Arial"/>
                <w:w w:val="105"/>
                <w:sz w:val="13"/>
              </w:rPr>
              <w:t>2.351.505</w:t>
            </w:r>
          </w:p>
        </w:tc>
        <w:tc>
          <w:tcPr>
            <w:tcW w:w="975" w:type="dxa"/>
            <w:tcBorders>
              <w:top w:val="nil"/>
              <w:bottom w:val="nil"/>
            </w:tcBorders>
          </w:tcPr>
          <w:p>
            <w:pPr>
              <w:pStyle w:val="TableParagraph"/>
              <w:spacing w:line="139" w:lineRule="exact" w:before="10"/>
              <w:ind w:right="55"/>
              <w:jc w:val="right"/>
              <w:rPr>
                <w:rFonts w:ascii="Arial"/>
                <w:sz w:val="13"/>
              </w:rPr>
            </w:pPr>
            <w:r>
              <w:rPr>
                <w:rFonts w:ascii="Arial"/>
                <w:w w:val="105"/>
                <w:sz w:val="13"/>
              </w:rPr>
              <w:t>967.000</w:t>
            </w:r>
          </w:p>
        </w:tc>
        <w:tc>
          <w:tcPr>
            <w:tcW w:w="973" w:type="dxa"/>
            <w:tcBorders>
              <w:top w:val="nil"/>
              <w:bottom w:val="nil"/>
              <w:right w:val="thinThickMediumGap" w:sz="2" w:space="0" w:color="000000"/>
            </w:tcBorders>
          </w:tcPr>
          <w:p>
            <w:pPr>
              <w:pStyle w:val="TableParagraph"/>
              <w:spacing w:line="139" w:lineRule="exact" w:before="10"/>
              <w:ind w:right="54"/>
              <w:jc w:val="right"/>
              <w:rPr>
                <w:rFonts w:ascii="Arial"/>
                <w:sz w:val="13"/>
              </w:rPr>
            </w:pPr>
            <w:r>
              <w:rPr>
                <w:rFonts w:ascii="Arial"/>
                <w:w w:val="105"/>
                <w:sz w:val="13"/>
              </w:rPr>
              <w:t>1.384.505</w:t>
            </w:r>
          </w:p>
        </w:tc>
        <w:tc>
          <w:tcPr>
            <w:tcW w:w="1133" w:type="dxa"/>
            <w:tcBorders>
              <w:top w:val="nil"/>
              <w:left w:val="thickThinMediumGap" w:sz="2" w:space="0" w:color="000000"/>
              <w:bottom w:val="nil"/>
            </w:tcBorders>
          </w:tcPr>
          <w:p>
            <w:pPr>
              <w:pStyle w:val="TableParagraph"/>
              <w:spacing w:line="139" w:lineRule="exact" w:before="10"/>
              <w:ind w:right="54"/>
              <w:jc w:val="right"/>
              <w:rPr>
                <w:rFonts w:ascii="Arial"/>
                <w:sz w:val="13"/>
              </w:rPr>
            </w:pPr>
            <w:r>
              <w:rPr>
                <w:rFonts w:ascii="Arial"/>
                <w:w w:val="105"/>
                <w:sz w:val="13"/>
              </w:rPr>
              <w:t>12.668.283</w:t>
            </w:r>
          </w:p>
        </w:tc>
        <w:tc>
          <w:tcPr>
            <w:tcW w:w="975" w:type="dxa"/>
            <w:tcBorders>
              <w:top w:val="nil"/>
              <w:bottom w:val="nil"/>
            </w:tcBorders>
          </w:tcPr>
          <w:p>
            <w:pPr>
              <w:pStyle w:val="TableParagraph"/>
              <w:spacing w:line="139" w:lineRule="exact" w:before="10"/>
              <w:ind w:right="64"/>
              <w:jc w:val="right"/>
              <w:rPr>
                <w:rFonts w:ascii="Arial"/>
                <w:sz w:val="13"/>
              </w:rPr>
            </w:pPr>
            <w:r>
              <w:rPr>
                <w:rFonts w:ascii="Arial"/>
                <w:w w:val="105"/>
                <w:sz w:val="13"/>
              </w:rPr>
              <w:t>1.250.000</w:t>
            </w:r>
          </w:p>
        </w:tc>
        <w:tc>
          <w:tcPr>
            <w:tcW w:w="970" w:type="dxa"/>
            <w:tcBorders>
              <w:top w:val="nil"/>
              <w:bottom w:val="nil"/>
              <w:right w:val="single" w:sz="8" w:space="0" w:color="000000"/>
            </w:tcBorders>
          </w:tcPr>
          <w:p>
            <w:pPr>
              <w:pStyle w:val="TableParagraph"/>
              <w:spacing w:line="139" w:lineRule="exact" w:before="10"/>
              <w:ind w:right="50"/>
              <w:jc w:val="right"/>
              <w:rPr>
                <w:rFonts w:ascii="Arial"/>
                <w:sz w:val="13"/>
              </w:rPr>
            </w:pPr>
            <w:r>
              <w:rPr>
                <w:rFonts w:ascii="Arial"/>
                <w:w w:val="105"/>
                <w:sz w:val="13"/>
              </w:rPr>
              <w:t>11.418.283</w:t>
            </w:r>
          </w:p>
        </w:tc>
      </w:tr>
      <w:tr>
        <w:trPr>
          <w:trHeight w:val="159" w:hRule="atLeast"/>
        </w:trPr>
        <w:tc>
          <w:tcPr>
            <w:tcW w:w="1162" w:type="dxa"/>
            <w:tcBorders>
              <w:top w:val="nil"/>
              <w:left w:val="single" w:sz="4" w:space="0" w:color="000000"/>
              <w:right w:val="single" w:sz="8" w:space="0" w:color="000000"/>
            </w:tcBorders>
          </w:tcPr>
          <w:p>
            <w:pPr>
              <w:pStyle w:val="TableParagraph"/>
              <w:spacing w:line="130" w:lineRule="exact" w:before="9"/>
              <w:ind w:left="26"/>
              <w:rPr>
                <w:rFonts w:ascii="Arial" w:hAnsi="Arial"/>
                <w:sz w:val="13"/>
              </w:rPr>
            </w:pPr>
            <w:r>
              <w:rPr>
                <w:rFonts w:ascii="Arial" w:hAnsi="Arial"/>
                <w:w w:val="105"/>
                <w:sz w:val="13"/>
              </w:rPr>
              <w:t>Etanol (litros/día)</w:t>
            </w:r>
          </w:p>
        </w:tc>
        <w:tc>
          <w:tcPr>
            <w:tcW w:w="977" w:type="dxa"/>
            <w:tcBorders>
              <w:top w:val="nil"/>
              <w:left w:val="single" w:sz="8" w:space="0" w:color="000000"/>
              <w:right w:val="single" w:sz="4" w:space="0" w:color="000000"/>
            </w:tcBorders>
          </w:tcPr>
          <w:p>
            <w:pPr>
              <w:pStyle w:val="TableParagraph"/>
              <w:rPr>
                <w:rFonts w:ascii="Times New Roman"/>
                <w:sz w:val="10"/>
              </w:rPr>
            </w:pPr>
          </w:p>
        </w:tc>
        <w:tc>
          <w:tcPr>
            <w:tcW w:w="974" w:type="dxa"/>
            <w:tcBorders>
              <w:top w:val="nil"/>
              <w:left w:val="single" w:sz="4" w:space="0" w:color="000000"/>
            </w:tcBorders>
          </w:tcPr>
          <w:p>
            <w:pPr>
              <w:pStyle w:val="TableParagraph"/>
              <w:rPr>
                <w:rFonts w:ascii="Times New Roman"/>
                <w:sz w:val="10"/>
              </w:rPr>
            </w:pPr>
          </w:p>
        </w:tc>
        <w:tc>
          <w:tcPr>
            <w:tcW w:w="973" w:type="dxa"/>
            <w:tcBorders>
              <w:top w:val="nil"/>
            </w:tcBorders>
          </w:tcPr>
          <w:p>
            <w:pPr>
              <w:pStyle w:val="TableParagraph"/>
              <w:spacing w:line="130" w:lineRule="exact" w:before="9"/>
              <w:ind w:right="59"/>
              <w:jc w:val="right"/>
              <w:rPr>
                <w:rFonts w:ascii="Arial"/>
                <w:sz w:val="13"/>
              </w:rPr>
            </w:pPr>
            <w:r>
              <w:rPr>
                <w:rFonts w:ascii="Arial"/>
                <w:w w:val="105"/>
                <w:sz w:val="13"/>
              </w:rPr>
              <w:t>1.024.161</w:t>
            </w:r>
          </w:p>
        </w:tc>
        <w:tc>
          <w:tcPr>
            <w:tcW w:w="975" w:type="dxa"/>
            <w:tcBorders>
              <w:top w:val="nil"/>
            </w:tcBorders>
          </w:tcPr>
          <w:p>
            <w:pPr>
              <w:pStyle w:val="TableParagraph"/>
              <w:spacing w:line="130" w:lineRule="exact" w:before="9"/>
              <w:ind w:right="62"/>
              <w:jc w:val="right"/>
              <w:rPr>
                <w:rFonts w:ascii="Arial"/>
                <w:sz w:val="13"/>
              </w:rPr>
            </w:pPr>
            <w:r>
              <w:rPr>
                <w:rFonts w:ascii="Arial"/>
                <w:w w:val="105"/>
                <w:sz w:val="13"/>
              </w:rPr>
              <w:t>421.162</w:t>
            </w:r>
          </w:p>
        </w:tc>
        <w:tc>
          <w:tcPr>
            <w:tcW w:w="973" w:type="dxa"/>
            <w:tcBorders>
              <w:top w:val="nil"/>
              <w:right w:val="thinThickMediumGap" w:sz="2" w:space="0" w:color="000000"/>
            </w:tcBorders>
          </w:tcPr>
          <w:p>
            <w:pPr>
              <w:pStyle w:val="TableParagraph"/>
              <w:spacing w:line="130" w:lineRule="exact" w:before="9"/>
              <w:ind w:right="63"/>
              <w:jc w:val="right"/>
              <w:rPr>
                <w:rFonts w:ascii="Arial"/>
                <w:sz w:val="13"/>
              </w:rPr>
            </w:pPr>
            <w:r>
              <w:rPr>
                <w:rFonts w:ascii="Arial"/>
                <w:w w:val="105"/>
                <w:sz w:val="13"/>
              </w:rPr>
              <w:t>602.999</w:t>
            </w:r>
          </w:p>
        </w:tc>
        <w:tc>
          <w:tcPr>
            <w:tcW w:w="1133" w:type="dxa"/>
            <w:tcBorders>
              <w:top w:val="nil"/>
              <w:left w:val="thickThinMediumGap" w:sz="2" w:space="0" w:color="000000"/>
            </w:tcBorders>
          </w:tcPr>
          <w:p>
            <w:pPr>
              <w:pStyle w:val="TableParagraph"/>
              <w:spacing w:line="130" w:lineRule="exact" w:before="9"/>
              <w:ind w:right="61"/>
              <w:jc w:val="right"/>
              <w:rPr>
                <w:rFonts w:ascii="Arial"/>
                <w:sz w:val="13"/>
              </w:rPr>
            </w:pPr>
            <w:r>
              <w:rPr>
                <w:rFonts w:ascii="Arial"/>
                <w:w w:val="105"/>
                <w:sz w:val="13"/>
              </w:rPr>
              <w:t>5.517.471</w:t>
            </w:r>
          </w:p>
        </w:tc>
        <w:tc>
          <w:tcPr>
            <w:tcW w:w="975" w:type="dxa"/>
            <w:tcBorders>
              <w:top w:val="nil"/>
            </w:tcBorders>
          </w:tcPr>
          <w:p>
            <w:pPr>
              <w:pStyle w:val="TableParagraph"/>
              <w:spacing w:line="130" w:lineRule="exact" w:before="9"/>
              <w:ind w:right="64"/>
              <w:jc w:val="right"/>
              <w:rPr>
                <w:rFonts w:ascii="Arial"/>
                <w:sz w:val="13"/>
              </w:rPr>
            </w:pPr>
            <w:r>
              <w:rPr>
                <w:rFonts w:ascii="Arial"/>
                <w:w w:val="105"/>
                <w:sz w:val="13"/>
              </w:rPr>
              <w:t>544.418</w:t>
            </w:r>
          </w:p>
        </w:tc>
        <w:tc>
          <w:tcPr>
            <w:tcW w:w="970" w:type="dxa"/>
            <w:tcBorders>
              <w:top w:val="nil"/>
              <w:right w:val="single" w:sz="8" w:space="0" w:color="000000"/>
            </w:tcBorders>
          </w:tcPr>
          <w:p>
            <w:pPr>
              <w:pStyle w:val="TableParagraph"/>
              <w:spacing w:line="130" w:lineRule="exact" w:before="9"/>
              <w:ind w:right="59"/>
              <w:jc w:val="right"/>
              <w:rPr>
                <w:rFonts w:ascii="Arial"/>
                <w:sz w:val="13"/>
              </w:rPr>
            </w:pPr>
            <w:r>
              <w:rPr>
                <w:rFonts w:ascii="Arial"/>
                <w:w w:val="105"/>
                <w:sz w:val="13"/>
              </w:rPr>
              <w:t>4.973.053</w:t>
            </w:r>
          </w:p>
        </w:tc>
      </w:tr>
    </w:tbl>
    <w:p>
      <w:pPr>
        <w:tabs>
          <w:tab w:pos="2012" w:val="left" w:leader="none"/>
        </w:tabs>
        <w:spacing w:before="0"/>
        <w:ind w:left="282" w:right="0" w:firstLine="0"/>
        <w:jc w:val="left"/>
        <w:rPr>
          <w:rFonts w:ascii="Arial" w:hAnsi="Arial"/>
          <w:i/>
          <w:sz w:val="13"/>
        </w:rPr>
      </w:pPr>
      <w:r>
        <w:rPr>
          <w:rFonts w:ascii="Arial" w:hAnsi="Arial"/>
          <w:i/>
          <w:spacing w:val="-3"/>
          <w:w w:val="105"/>
          <w:sz w:val="13"/>
        </w:rPr>
        <w:t>Ton.</w:t>
      </w:r>
      <w:r>
        <w:rPr>
          <w:rFonts w:ascii="Arial" w:hAnsi="Arial"/>
          <w:i/>
          <w:spacing w:val="8"/>
          <w:w w:val="105"/>
          <w:sz w:val="13"/>
        </w:rPr>
        <w:t> </w:t>
      </w:r>
      <w:r>
        <w:rPr>
          <w:rFonts w:ascii="Arial" w:hAnsi="Arial"/>
          <w:i/>
          <w:spacing w:val="-3"/>
          <w:w w:val="105"/>
          <w:sz w:val="13"/>
        </w:rPr>
        <w:t>Caña/Ha</w:t>
        <w:tab/>
      </w:r>
      <w:r>
        <w:rPr>
          <w:rFonts w:ascii="Arial" w:hAnsi="Arial"/>
          <w:i/>
          <w:w w:val="105"/>
          <w:sz w:val="13"/>
        </w:rPr>
        <w:t>38,35</w:t>
      </w:r>
    </w:p>
    <w:p>
      <w:pPr>
        <w:tabs>
          <w:tab w:pos="1940" w:val="left" w:leader="none"/>
        </w:tabs>
        <w:spacing w:before="21"/>
        <w:ind w:left="282" w:right="0" w:firstLine="0"/>
        <w:jc w:val="left"/>
        <w:rPr>
          <w:rFonts w:ascii="Arial"/>
          <w:i/>
          <w:sz w:val="13"/>
        </w:rPr>
      </w:pPr>
      <w:r>
        <w:rPr>
          <w:rFonts w:ascii="Arial"/>
          <w:i/>
          <w:w w:val="105"/>
          <w:sz w:val="13"/>
        </w:rPr>
        <w:t>bbl/Ton</w:t>
        <w:tab/>
      </w:r>
      <w:r>
        <w:rPr>
          <w:rFonts w:ascii="Arial"/>
          <w:i/>
          <w:spacing w:val="-3"/>
          <w:w w:val="105"/>
          <w:sz w:val="13"/>
        </w:rPr>
        <w:t>0,4719</w:t>
      </w:r>
    </w:p>
    <w:p>
      <w:pPr>
        <w:spacing w:before="16"/>
        <w:ind w:left="219" w:right="0" w:firstLine="0"/>
        <w:jc w:val="left"/>
        <w:rPr>
          <w:b/>
          <w:sz w:val="16"/>
        </w:rPr>
      </w:pPr>
      <w:r>
        <w:rPr>
          <w:sz w:val="16"/>
        </w:rPr>
        <w:t>Fuente: </w:t>
      </w:r>
      <w:r>
        <w:rPr>
          <w:b/>
          <w:sz w:val="16"/>
        </w:rPr>
        <w:t>DIAGNÓSTICO Y DEFINICIÓN DE LÍNEAS ESTRATÉGICAS DEL SUBSECTOR FUENTES DE ENERGÍA NUEVAS Y</w:t>
      </w:r>
    </w:p>
    <w:p>
      <w:pPr>
        <w:spacing w:before="2"/>
        <w:ind w:left="219" w:right="0" w:firstLine="0"/>
        <w:jc w:val="left"/>
        <w:rPr>
          <w:sz w:val="16"/>
        </w:rPr>
      </w:pPr>
      <w:r>
        <w:rPr>
          <w:b/>
          <w:sz w:val="16"/>
        </w:rPr>
        <w:t>RENOVABLES (FER), </w:t>
      </w:r>
      <w:r>
        <w:rPr>
          <w:sz w:val="16"/>
        </w:rPr>
        <w:t>Humberto Rodríguez M, Enero de 2008. Cálculos propios del consultor.</w:t>
      </w:r>
    </w:p>
    <w:p>
      <w:pPr>
        <w:spacing w:after="0"/>
        <w:jc w:val="left"/>
        <w:rPr>
          <w:sz w:val="16"/>
        </w:rPr>
        <w:sectPr>
          <w:pgSz w:w="12240" w:h="15840"/>
          <w:pgMar w:header="718" w:footer="954" w:top="1500" w:bottom="1140" w:left="1220" w:right="1220"/>
        </w:sectPr>
      </w:pPr>
    </w:p>
    <w:p>
      <w:pPr>
        <w:pStyle w:val="Heading3"/>
        <w:spacing w:before="119"/>
        <w:ind w:left="1299"/>
        <w:rPr>
          <w:i/>
        </w:rPr>
      </w:pPr>
      <w:bookmarkStart w:name="_TOC_250089" w:id="10"/>
      <w:bookmarkEnd w:id="10"/>
      <w:r>
        <w:rPr>
          <w:i/>
          <w:w w:val="110"/>
        </w:rPr>
        <w:t>Biodiesel</w:t>
      </w:r>
    </w:p>
    <w:p>
      <w:pPr>
        <w:pStyle w:val="BodyText"/>
        <w:spacing w:before="5"/>
        <w:rPr>
          <w:rFonts w:ascii="Times New Roman"/>
          <w:b/>
          <w:i/>
          <w:sz w:val="24"/>
        </w:rPr>
      </w:pPr>
    </w:p>
    <w:p>
      <w:pPr>
        <w:pStyle w:val="ListParagraph"/>
        <w:numPr>
          <w:ilvl w:val="2"/>
          <w:numId w:val="14"/>
        </w:numPr>
        <w:tabs>
          <w:tab w:pos="940" w:val="left" w:leader="none"/>
        </w:tabs>
        <w:spacing w:line="237" w:lineRule="auto" w:before="1" w:after="0"/>
        <w:ind w:left="939" w:right="214" w:hanging="360"/>
        <w:jc w:val="both"/>
        <w:rPr>
          <w:sz w:val="23"/>
        </w:rPr>
      </w:pPr>
      <w:r>
        <w:rPr>
          <w:sz w:val="23"/>
        </w:rPr>
        <w:t>Iniciar el programa de biodiesel basado en nuevos cultivos de palma africana. Se supone que la demanda por aceite y grasa como alimento y uso industrial se seguirá satisfaciendo con los cultivos actuales y las</w:t>
      </w:r>
      <w:r>
        <w:rPr>
          <w:spacing w:val="-5"/>
          <w:sz w:val="23"/>
        </w:rPr>
        <w:t> </w:t>
      </w:r>
      <w:r>
        <w:rPr>
          <w:sz w:val="23"/>
        </w:rPr>
        <w:t>importaciones.</w:t>
      </w:r>
    </w:p>
    <w:p>
      <w:pPr>
        <w:pStyle w:val="BodyText"/>
        <w:spacing w:before="2"/>
      </w:pPr>
    </w:p>
    <w:p>
      <w:pPr>
        <w:pStyle w:val="ListParagraph"/>
        <w:numPr>
          <w:ilvl w:val="2"/>
          <w:numId w:val="14"/>
        </w:numPr>
        <w:tabs>
          <w:tab w:pos="940" w:val="left" w:leader="none"/>
        </w:tabs>
        <w:spacing w:line="240" w:lineRule="auto" w:before="0" w:after="0"/>
        <w:ind w:left="939" w:right="214" w:hanging="360"/>
        <w:jc w:val="both"/>
        <w:rPr>
          <w:sz w:val="23"/>
        </w:rPr>
      </w:pPr>
      <w:r>
        <w:rPr>
          <w:sz w:val="23"/>
        </w:rPr>
        <w:t>De acuerdo con la información dada por el Ministerio de Agricultura, el área sembrada de palma africana ascendió en 1999 a 13,188 ha, con un potencial de 37,272 ha. De otra parte, un estudio más reciente</w:t>
      </w:r>
      <w:r>
        <w:rPr>
          <w:sz w:val="23"/>
          <w:vertAlign w:val="superscript"/>
        </w:rPr>
        <w:t>11</w:t>
      </w:r>
      <w:r>
        <w:rPr>
          <w:sz w:val="23"/>
          <w:vertAlign w:val="baseline"/>
        </w:rPr>
        <w:t>, determina el área potencial bajo condiciones agronómicas y requerimientos edafoclimáticos muy estrictos, en 45,000 ha. Sin embargo, las condiciones óptimas determinadas en el estudio no indican que son las únicas en las cuales puede crecer y desarrollarse bien la palma africana. Por esta razón, este estimativo debe considerarse como un límite inferior, bajo las condiciones edafoclimáticas más rigurosas, para definir las condiciones de un escenario conservador. Un escenario menos conservador puede establecer un número de hectáreas mayor a 45,000 ha, donde puede desarrollarse la palma africana.</w:t>
      </w:r>
    </w:p>
    <w:p>
      <w:pPr>
        <w:pStyle w:val="BodyText"/>
        <w:spacing w:before="10"/>
        <w:rPr>
          <w:sz w:val="22"/>
        </w:rPr>
      </w:pPr>
    </w:p>
    <w:p>
      <w:pPr>
        <w:pStyle w:val="ListParagraph"/>
        <w:numPr>
          <w:ilvl w:val="2"/>
          <w:numId w:val="14"/>
        </w:numPr>
        <w:tabs>
          <w:tab w:pos="941" w:val="left" w:leader="none"/>
        </w:tabs>
        <w:spacing w:line="240" w:lineRule="auto" w:before="0" w:after="0"/>
        <w:ind w:left="940" w:right="214" w:hanging="360"/>
        <w:jc w:val="both"/>
        <w:rPr>
          <w:sz w:val="23"/>
        </w:rPr>
      </w:pPr>
      <w:r>
        <w:rPr>
          <w:sz w:val="23"/>
        </w:rPr>
        <w:t>Para ambos escenarios, la meta a mediano plazo (año 2012) es pasar de la superficie actual cultivada de cerca de 13,000 ha a 45,000 ha. Esto daría unas 32,000 ha para iniciar el programa de biodiesel, con una producción aproximada de 913 KBbl/año, suficiente para cubrir la demanda de B5 y generar excedentes exportables.</w:t>
      </w:r>
    </w:p>
    <w:p>
      <w:pPr>
        <w:pStyle w:val="BodyText"/>
        <w:spacing w:before="8"/>
        <w:rPr>
          <w:sz w:val="22"/>
        </w:rPr>
      </w:pPr>
    </w:p>
    <w:p>
      <w:pPr>
        <w:pStyle w:val="ListParagraph"/>
        <w:numPr>
          <w:ilvl w:val="2"/>
          <w:numId w:val="14"/>
        </w:numPr>
        <w:tabs>
          <w:tab w:pos="941" w:val="left" w:leader="none"/>
        </w:tabs>
        <w:spacing w:line="240" w:lineRule="auto" w:before="0" w:after="0"/>
        <w:ind w:left="940" w:right="214" w:hanging="360"/>
        <w:jc w:val="both"/>
        <w:rPr>
          <w:sz w:val="23"/>
        </w:rPr>
      </w:pPr>
      <w:r>
        <w:rPr>
          <w:sz w:val="23"/>
        </w:rPr>
        <w:t>El reto de la estrategia energética, definido para el escenario alto, es incrementar la superficie sembrada para aumentar los excedentes exportables. Desde el punto de vista de disponibilidad de tierras, es posible adicionar 73,000 ha a partir de 2012, con una meta de llegar a cerca de 105,000 ha dedicadas a la producción de biodiesel. Dado que la palma requiere 5 años de crecimiento para iniciar producción, estos nuevos cultivos se tendrán que sembrar en el período 2012-2015, para empezar a estar en producción a partir de 2017. La nueva área cultivada de palma produciría 3,013 KBbl/año, lo cual genera excedentes exportables muy</w:t>
      </w:r>
      <w:r>
        <w:rPr>
          <w:spacing w:val="-21"/>
          <w:sz w:val="23"/>
        </w:rPr>
        <w:t> </w:t>
      </w:r>
      <w:r>
        <w:rPr>
          <w:sz w:val="23"/>
        </w:rPr>
        <w:t>importantes.</w:t>
      </w:r>
    </w:p>
    <w:p>
      <w:pPr>
        <w:pStyle w:val="BodyText"/>
        <w:spacing w:before="10"/>
        <w:rPr>
          <w:sz w:val="22"/>
        </w:rPr>
      </w:pPr>
    </w:p>
    <w:p>
      <w:pPr>
        <w:pStyle w:val="ListParagraph"/>
        <w:numPr>
          <w:ilvl w:val="2"/>
          <w:numId w:val="14"/>
        </w:numPr>
        <w:tabs>
          <w:tab w:pos="941" w:val="left" w:leader="none"/>
        </w:tabs>
        <w:spacing w:line="240" w:lineRule="auto" w:before="0" w:after="0"/>
        <w:ind w:left="940" w:right="214" w:hanging="360"/>
        <w:jc w:val="both"/>
        <w:rPr>
          <w:sz w:val="23"/>
        </w:rPr>
      </w:pPr>
      <w:r>
        <w:rPr>
          <w:sz w:val="23"/>
        </w:rPr>
        <w:t>La Tabla 2.5 muestra la producción para los dos escenarios. En el año 2012, los excedentes exportables ascienden a 596 KBbl/año para el escenario bajo y 546 KBbl/año para el escenario alto, después de cubrir la demanda estimada para el B5. En el año 2020, los excedentes exportables ascienden a 544 KBbl/año para el escenario bajo y 2,493 KBbl/año para el escenario alto. Nótese la gran diferencia en exportaciones que resulta de una política agresiva de nuevos cultivos, basados en un potencial de suelos que es factible en República</w:t>
      </w:r>
      <w:r>
        <w:rPr>
          <w:spacing w:val="-5"/>
          <w:sz w:val="23"/>
        </w:rPr>
        <w:t> </w:t>
      </w:r>
      <w:r>
        <w:rPr>
          <w:sz w:val="23"/>
        </w:rPr>
        <w:t>Dominicana.</w:t>
      </w:r>
    </w:p>
    <w:p>
      <w:pPr>
        <w:pStyle w:val="BodyText"/>
        <w:rPr>
          <w:sz w:val="20"/>
        </w:rPr>
      </w:pPr>
    </w:p>
    <w:p>
      <w:pPr>
        <w:pStyle w:val="BodyText"/>
        <w:spacing w:before="6"/>
        <w:rPr>
          <w:sz w:val="18"/>
        </w:rPr>
      </w:pPr>
      <w:r>
        <w:rPr/>
        <w:pict>
          <v:rect style="position:absolute;margin-left:72pt;margin-top:13.149708pt;width:143.999997pt;height:.72pt;mso-position-horizontal-relative:page;mso-position-vertical-relative:paragraph;z-index:-15690240;mso-wrap-distance-left:0;mso-wrap-distance-right:0" filled="true" fillcolor="#000000" stroked="false">
            <v:fill type="solid"/>
            <w10:wrap type="topAndBottom"/>
          </v:rect>
        </w:pict>
      </w:r>
    </w:p>
    <w:p>
      <w:pPr>
        <w:spacing w:before="91"/>
        <w:ind w:left="219" w:right="216" w:firstLine="0"/>
        <w:jc w:val="both"/>
        <w:rPr>
          <w:rFonts w:ascii="Verdana" w:hAnsi="Verdana"/>
          <w:sz w:val="20"/>
        </w:rPr>
      </w:pPr>
      <w:r>
        <w:rPr>
          <w:rFonts w:ascii="Verdana" w:hAnsi="Verdana"/>
          <w:sz w:val="20"/>
          <w:vertAlign w:val="superscript"/>
        </w:rPr>
        <w:t>11</w:t>
      </w:r>
      <w:r>
        <w:rPr>
          <w:rFonts w:ascii="Verdana" w:hAnsi="Verdana"/>
          <w:sz w:val="20"/>
          <w:vertAlign w:val="baseline"/>
        </w:rPr>
        <w:t> Peña Jehová, </w:t>
      </w:r>
      <w:r>
        <w:rPr>
          <w:rFonts w:ascii="Verdana" w:hAnsi="Verdana"/>
          <w:b/>
          <w:sz w:val="20"/>
          <w:vertAlign w:val="baseline"/>
        </w:rPr>
        <w:t>ELABORACIÓN DE UNA ESTRATEGIA PRELIMINAR PARA LA PRODUCCIÓN Y FOMENTO DE BIODIESEL</w:t>
      </w:r>
      <w:r>
        <w:rPr>
          <w:rFonts w:ascii="Verdana" w:hAnsi="Verdana"/>
          <w:sz w:val="20"/>
          <w:vertAlign w:val="baseline"/>
        </w:rPr>
        <w:t>, Instituto Dominicano de Investigaciones Agropecuarias y Forestales, Acuerdo IIBI - IDIAF - FONDEC (CNC-BID), 23 de marzo del 2007.</w:t>
      </w:r>
    </w:p>
    <w:p>
      <w:pPr>
        <w:spacing w:after="0"/>
        <w:jc w:val="both"/>
        <w:rPr>
          <w:rFonts w:ascii="Verdana" w:hAnsi="Verdana"/>
          <w:sz w:val="20"/>
        </w:rPr>
        <w:sectPr>
          <w:pgSz w:w="12240" w:h="15840"/>
          <w:pgMar w:header="718" w:footer="954" w:top="1500" w:bottom="1140" w:left="1220" w:right="1220"/>
        </w:sectPr>
      </w:pPr>
    </w:p>
    <w:p>
      <w:pPr>
        <w:pStyle w:val="ListParagraph"/>
        <w:numPr>
          <w:ilvl w:val="2"/>
          <w:numId w:val="14"/>
        </w:numPr>
        <w:tabs>
          <w:tab w:pos="940" w:val="left" w:leader="none"/>
        </w:tabs>
        <w:spacing w:line="240" w:lineRule="auto" w:before="114" w:after="0"/>
        <w:ind w:left="939" w:right="214" w:hanging="360"/>
        <w:jc w:val="both"/>
        <w:rPr>
          <w:sz w:val="23"/>
        </w:rPr>
      </w:pPr>
      <w:r>
        <w:rPr>
          <w:sz w:val="23"/>
        </w:rPr>
        <w:t>Para implementar esta estrategia se requiere invertir en plantas de producción de biodiesel con una capacidad cercana a 128,000 T/año en 2012 y para el escenario alto se requeriría una capacidad adicional de 295,000 para ser desarrollada en el período 2012-2020, de acuerdo con el desarrollo de los cultivos. Estas plantas pueden ser modulares, desde una capacidad de 30,000 T/año, lo que facilita mantener una congruencia entre la producción de materia prima y la capacidad de procesamiento. También es posible, la construcción de una sola planta de 130,000 T/año para entrar en operación en 2012 y otra en 2017 de 300,000 T/año, con importantes economías de escala, pero también con capacidad ociosa durante largos períodos.</w:t>
      </w:r>
    </w:p>
    <w:p>
      <w:pPr>
        <w:pStyle w:val="BodyText"/>
        <w:spacing w:before="9"/>
        <w:rPr>
          <w:sz w:val="22"/>
        </w:rPr>
      </w:pPr>
    </w:p>
    <w:p>
      <w:pPr>
        <w:pStyle w:val="ListParagraph"/>
        <w:numPr>
          <w:ilvl w:val="2"/>
          <w:numId w:val="14"/>
        </w:numPr>
        <w:tabs>
          <w:tab w:pos="940" w:val="left" w:leader="none"/>
        </w:tabs>
        <w:spacing w:line="240" w:lineRule="auto" w:before="0" w:after="0"/>
        <w:ind w:left="939" w:right="215" w:hanging="360"/>
        <w:jc w:val="both"/>
        <w:rPr>
          <w:sz w:val="23"/>
        </w:rPr>
      </w:pPr>
      <w:r>
        <w:rPr>
          <w:sz w:val="23"/>
        </w:rPr>
        <w:t>Es conveniente, para contrarrestar el monocultivo, diversificar la oferta de materias primas y ampliar el área disponible, promover los cultivos de jatropha (piñón) e higuereta en los suelos V, VI y VII, sobre todo en las zonas más áridas y de menos precipitación donde el conflicto con alimentos es menor o existe actualmente ganadería extensiva, para ser usados en forma pura o en mezclas con preponderancia de aceite (sin requerir la conversión a biodiesel) en motores diesel en sistemas aislados y autogeneración. La sustitución puede alcanzar, en orden de magnitud, 750 KBbl/año en 2010 hasta 1,100 KBbl/año en</w:t>
      </w:r>
      <w:r>
        <w:rPr>
          <w:spacing w:val="-5"/>
          <w:sz w:val="23"/>
        </w:rPr>
        <w:t> </w:t>
      </w:r>
      <w:r>
        <w:rPr>
          <w:sz w:val="23"/>
        </w:rPr>
        <w:t>2020.</w:t>
      </w:r>
    </w:p>
    <w:p>
      <w:pPr>
        <w:pStyle w:val="BodyText"/>
        <w:spacing w:before="1"/>
      </w:pPr>
    </w:p>
    <w:p>
      <w:pPr>
        <w:pStyle w:val="ListParagraph"/>
        <w:numPr>
          <w:ilvl w:val="2"/>
          <w:numId w:val="14"/>
        </w:numPr>
        <w:tabs>
          <w:tab w:pos="940" w:val="left" w:leader="none"/>
        </w:tabs>
        <w:spacing w:line="237" w:lineRule="auto" w:before="0" w:after="0"/>
        <w:ind w:left="939" w:right="215" w:hanging="360"/>
        <w:jc w:val="both"/>
        <w:rPr>
          <w:sz w:val="23"/>
        </w:rPr>
      </w:pPr>
      <w:r>
        <w:rPr>
          <w:sz w:val="23"/>
        </w:rPr>
        <w:t>Así mismo, para flotas cautivas de vehículos diesel, que pueden hacer las modificaciones necesarias en el motor, debe incentivarse el uso puro del aceite extraído de la jatropha. El aceite de higuereta, por ser más denso, requiere ser mezclado en alguna proporción con el</w:t>
      </w:r>
      <w:r>
        <w:rPr>
          <w:spacing w:val="-4"/>
          <w:sz w:val="23"/>
        </w:rPr>
        <w:t> </w:t>
      </w:r>
      <w:r>
        <w:rPr>
          <w:sz w:val="23"/>
        </w:rPr>
        <w:t>diesel.</w:t>
      </w:r>
    </w:p>
    <w:p>
      <w:pPr>
        <w:pStyle w:val="BodyText"/>
        <w:spacing w:before="6"/>
      </w:pPr>
    </w:p>
    <w:p>
      <w:pPr>
        <w:pStyle w:val="ListParagraph"/>
        <w:numPr>
          <w:ilvl w:val="2"/>
          <w:numId w:val="14"/>
        </w:numPr>
        <w:tabs>
          <w:tab w:pos="940" w:val="left" w:leader="none"/>
        </w:tabs>
        <w:spacing w:line="240" w:lineRule="auto" w:before="0" w:after="0"/>
        <w:ind w:left="939" w:right="213" w:hanging="360"/>
        <w:jc w:val="both"/>
        <w:rPr>
          <w:sz w:val="23"/>
        </w:rPr>
      </w:pPr>
      <w:r>
        <w:rPr>
          <w:sz w:val="23"/>
        </w:rPr>
        <w:t>La posibilidad del cultivo en tierras áridas, la facilidad para la extracción local y la aceptación en motores para generación con modificaciones menores hacen de estos aceites un elemento importante en la estrategia de sustitución de diesel a nivel local. La jatropha y la higuereta, en ese orden, tienen el mayor potencial de área favorable de cultivo, distribuido por todo el territorio</w:t>
      </w:r>
      <w:r>
        <w:rPr>
          <w:spacing w:val="-4"/>
          <w:sz w:val="23"/>
        </w:rPr>
        <w:t> </w:t>
      </w:r>
      <w:r>
        <w:rPr>
          <w:sz w:val="23"/>
        </w:rPr>
        <w:t>nacional.</w:t>
      </w:r>
    </w:p>
    <w:p>
      <w:pPr>
        <w:pStyle w:val="BodyText"/>
        <w:spacing w:before="8"/>
        <w:rPr>
          <w:sz w:val="22"/>
        </w:rPr>
      </w:pPr>
    </w:p>
    <w:p>
      <w:pPr>
        <w:pStyle w:val="ListParagraph"/>
        <w:numPr>
          <w:ilvl w:val="2"/>
          <w:numId w:val="14"/>
        </w:numPr>
        <w:tabs>
          <w:tab w:pos="940" w:val="left" w:leader="none"/>
        </w:tabs>
        <w:spacing w:line="240" w:lineRule="auto" w:before="0" w:after="0"/>
        <w:ind w:left="939" w:right="216" w:hanging="360"/>
        <w:jc w:val="both"/>
        <w:rPr>
          <w:sz w:val="23"/>
        </w:rPr>
      </w:pPr>
      <w:r>
        <w:rPr>
          <w:sz w:val="23"/>
        </w:rPr>
        <w:t>Promover el autoconsumo de aceites y grasas usadas en mataderos, hoteles y restaurantes, el cual puede ascender a 93 KBbl/año. El aprovechamiento local de grasas y aceites usados tienen bajo costo de recolección, transporte y procesamiento y resuelve la contaminación de estos desechos</w:t>
      </w:r>
      <w:r>
        <w:rPr>
          <w:spacing w:val="-11"/>
          <w:sz w:val="23"/>
        </w:rPr>
        <w:t> </w:t>
      </w:r>
      <w:r>
        <w:rPr>
          <w:sz w:val="23"/>
        </w:rPr>
        <w:t>grasientos.</w:t>
      </w:r>
    </w:p>
    <w:p>
      <w:pPr>
        <w:spacing w:after="0" w:line="240" w:lineRule="auto"/>
        <w:jc w:val="both"/>
        <w:rPr>
          <w:sz w:val="23"/>
        </w:rPr>
        <w:sectPr>
          <w:pgSz w:w="12240" w:h="15840"/>
          <w:pgMar w:header="718" w:footer="954" w:top="1500" w:bottom="1140" w:left="1220" w:right="1220"/>
        </w:sectPr>
      </w:pPr>
    </w:p>
    <w:p>
      <w:pPr>
        <w:pStyle w:val="Heading9"/>
        <w:spacing w:before="113"/>
        <w:ind w:left="385"/>
      </w:pPr>
      <w:r>
        <w:rPr/>
        <w:t>Tabla 2.5 - Producción y exportación de biodiesel con base en Cultivos Nuevos</w:t>
      </w:r>
    </w:p>
    <w:p>
      <w:pPr>
        <w:pStyle w:val="BodyText"/>
        <w:spacing w:before="8"/>
        <w:rPr>
          <w:b/>
          <w:sz w:val="16"/>
        </w:rPr>
      </w:pPr>
    </w:p>
    <w:p>
      <w:pPr>
        <w:spacing w:before="102"/>
        <w:ind w:left="387" w:right="0" w:firstLine="0"/>
        <w:jc w:val="left"/>
        <w:rPr>
          <w:rFonts w:ascii="Arial"/>
          <w:b/>
          <w:sz w:val="13"/>
        </w:rPr>
      </w:pPr>
      <w:r>
        <w:rPr>
          <w:rFonts w:ascii="Arial"/>
          <w:b/>
          <w:spacing w:val="-4"/>
          <w:w w:val="105"/>
          <w:sz w:val="13"/>
        </w:rPr>
        <w:t>ESCENARIO</w:t>
      </w:r>
      <w:r>
        <w:rPr>
          <w:rFonts w:ascii="Arial"/>
          <w:b/>
          <w:spacing w:val="6"/>
          <w:w w:val="105"/>
          <w:sz w:val="13"/>
        </w:rPr>
        <w:t> </w:t>
      </w:r>
      <w:r>
        <w:rPr>
          <w:rFonts w:ascii="Arial"/>
          <w:b/>
          <w:spacing w:val="-5"/>
          <w:w w:val="105"/>
          <w:sz w:val="13"/>
        </w:rPr>
        <w:t>BAJO</w:t>
      </w:r>
    </w:p>
    <w:p>
      <w:pPr>
        <w:pStyle w:val="BodyText"/>
        <w:spacing w:before="6"/>
        <w:rPr>
          <w:rFonts w:ascii="Arial"/>
          <w:b/>
          <w:sz w:val="14"/>
        </w:rPr>
      </w:pPr>
    </w:p>
    <w:tbl>
      <w:tblPr>
        <w:tblW w:w="0" w:type="auto"/>
        <w:jc w:val="left"/>
        <w:tblInd w:w="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62"/>
        <w:gridCol w:w="977"/>
        <w:gridCol w:w="974"/>
        <w:gridCol w:w="973"/>
        <w:gridCol w:w="975"/>
        <w:gridCol w:w="973"/>
        <w:gridCol w:w="1133"/>
        <w:gridCol w:w="975"/>
        <w:gridCol w:w="970"/>
      </w:tblGrid>
      <w:tr>
        <w:trPr>
          <w:trHeight w:val="158" w:hRule="atLeast"/>
        </w:trPr>
        <w:tc>
          <w:tcPr>
            <w:tcW w:w="1162" w:type="dxa"/>
            <w:vMerge w:val="restart"/>
            <w:tcBorders>
              <w:top w:val="nil"/>
              <w:left w:val="nil"/>
              <w:right w:val="single" w:sz="8" w:space="0" w:color="000000"/>
            </w:tcBorders>
          </w:tcPr>
          <w:p>
            <w:pPr>
              <w:pStyle w:val="TableParagraph"/>
              <w:rPr>
                <w:rFonts w:ascii="Times New Roman"/>
                <w:sz w:val="18"/>
              </w:rPr>
            </w:pPr>
          </w:p>
        </w:tc>
        <w:tc>
          <w:tcPr>
            <w:tcW w:w="4872" w:type="dxa"/>
            <w:gridSpan w:val="5"/>
            <w:tcBorders>
              <w:top w:val="single" w:sz="8" w:space="0" w:color="000000"/>
              <w:left w:val="single" w:sz="8" w:space="0" w:color="000000"/>
              <w:right w:val="thinThickMediumGap" w:sz="2" w:space="0" w:color="000000"/>
            </w:tcBorders>
          </w:tcPr>
          <w:p>
            <w:pPr>
              <w:pStyle w:val="TableParagraph"/>
              <w:spacing w:line="128" w:lineRule="exact" w:before="11"/>
              <w:ind w:left="2084" w:right="2076"/>
              <w:jc w:val="center"/>
              <w:rPr>
                <w:rFonts w:ascii="Arial"/>
                <w:b/>
                <w:sz w:val="13"/>
              </w:rPr>
            </w:pPr>
            <w:r>
              <w:rPr>
                <w:rFonts w:ascii="Arial"/>
                <w:b/>
                <w:w w:val="105"/>
                <w:sz w:val="13"/>
              </w:rPr>
              <w:t>Meta 2012</w:t>
            </w:r>
          </w:p>
        </w:tc>
        <w:tc>
          <w:tcPr>
            <w:tcW w:w="3078" w:type="dxa"/>
            <w:gridSpan w:val="3"/>
            <w:tcBorders>
              <w:top w:val="single" w:sz="8" w:space="0" w:color="000000"/>
              <w:left w:val="thickThinMediumGap" w:sz="2" w:space="0" w:color="000000"/>
              <w:right w:val="single" w:sz="8" w:space="0" w:color="000000"/>
            </w:tcBorders>
          </w:tcPr>
          <w:p>
            <w:pPr>
              <w:pStyle w:val="TableParagraph"/>
              <w:spacing w:line="128" w:lineRule="exact" w:before="11"/>
              <w:ind w:left="1187" w:right="1180"/>
              <w:jc w:val="center"/>
              <w:rPr>
                <w:rFonts w:ascii="Arial"/>
                <w:b/>
                <w:sz w:val="13"/>
              </w:rPr>
            </w:pPr>
            <w:r>
              <w:rPr>
                <w:rFonts w:ascii="Arial"/>
                <w:b/>
                <w:w w:val="105"/>
                <w:sz w:val="13"/>
              </w:rPr>
              <w:t>Meta 2020</w:t>
            </w:r>
          </w:p>
        </w:tc>
      </w:tr>
      <w:tr>
        <w:trPr>
          <w:trHeight w:val="330" w:hRule="atLeast"/>
        </w:trPr>
        <w:tc>
          <w:tcPr>
            <w:tcW w:w="1162" w:type="dxa"/>
            <w:vMerge/>
            <w:tcBorders>
              <w:top w:val="nil"/>
              <w:left w:val="nil"/>
              <w:right w:val="single" w:sz="8" w:space="0" w:color="000000"/>
            </w:tcBorders>
          </w:tcPr>
          <w:p>
            <w:pPr>
              <w:rPr>
                <w:sz w:val="2"/>
                <w:szCs w:val="2"/>
              </w:rPr>
            </w:pPr>
          </w:p>
        </w:tc>
        <w:tc>
          <w:tcPr>
            <w:tcW w:w="977" w:type="dxa"/>
            <w:tcBorders>
              <w:left w:val="single" w:sz="8" w:space="0" w:color="000000"/>
              <w:right w:val="single" w:sz="4" w:space="0" w:color="000000"/>
            </w:tcBorders>
          </w:tcPr>
          <w:p>
            <w:pPr>
              <w:pStyle w:val="TableParagraph"/>
              <w:spacing w:before="7"/>
              <w:rPr>
                <w:rFonts w:ascii="Arial"/>
                <w:b/>
                <w:sz w:val="15"/>
              </w:rPr>
            </w:pPr>
          </w:p>
          <w:p>
            <w:pPr>
              <w:pStyle w:val="TableParagraph"/>
              <w:spacing w:line="130" w:lineRule="exact"/>
              <w:ind w:left="186"/>
              <w:rPr>
                <w:rFonts w:ascii="Arial"/>
                <w:sz w:val="13"/>
              </w:rPr>
            </w:pPr>
            <w:r>
              <w:rPr>
                <w:rFonts w:ascii="Arial"/>
                <w:w w:val="105"/>
                <w:sz w:val="13"/>
              </w:rPr>
              <w:t>Sembrada</w:t>
            </w:r>
          </w:p>
        </w:tc>
        <w:tc>
          <w:tcPr>
            <w:tcW w:w="974" w:type="dxa"/>
            <w:tcBorders>
              <w:left w:val="single" w:sz="4" w:space="0" w:color="000000"/>
            </w:tcBorders>
          </w:tcPr>
          <w:p>
            <w:pPr>
              <w:pStyle w:val="TableParagraph"/>
              <w:spacing w:before="7"/>
              <w:rPr>
                <w:rFonts w:ascii="Arial"/>
                <w:b/>
                <w:sz w:val="15"/>
              </w:rPr>
            </w:pPr>
          </w:p>
          <w:p>
            <w:pPr>
              <w:pStyle w:val="TableParagraph"/>
              <w:spacing w:line="130" w:lineRule="exact"/>
              <w:ind w:left="220"/>
              <w:rPr>
                <w:rFonts w:ascii="Arial"/>
                <w:sz w:val="13"/>
              </w:rPr>
            </w:pPr>
            <w:r>
              <w:rPr>
                <w:rFonts w:ascii="Arial"/>
                <w:w w:val="105"/>
                <w:sz w:val="13"/>
              </w:rPr>
              <w:t>Potencial</w:t>
            </w:r>
          </w:p>
        </w:tc>
        <w:tc>
          <w:tcPr>
            <w:tcW w:w="973" w:type="dxa"/>
          </w:tcPr>
          <w:p>
            <w:pPr>
              <w:pStyle w:val="TableParagraph"/>
              <w:spacing w:before="12"/>
              <w:ind w:left="273"/>
              <w:rPr>
                <w:rFonts w:ascii="Arial"/>
                <w:sz w:val="13"/>
              </w:rPr>
            </w:pPr>
            <w:r>
              <w:rPr>
                <w:rFonts w:ascii="Arial"/>
                <w:spacing w:val="-6"/>
                <w:w w:val="105"/>
                <w:sz w:val="13"/>
              </w:rPr>
              <w:t>Nuevos</w:t>
            </w:r>
          </w:p>
          <w:p>
            <w:pPr>
              <w:pStyle w:val="TableParagraph"/>
              <w:spacing w:line="130" w:lineRule="exact" w:before="18"/>
              <w:ind w:left="280"/>
              <w:rPr>
                <w:rFonts w:ascii="Arial"/>
                <w:sz w:val="13"/>
              </w:rPr>
            </w:pPr>
            <w:r>
              <w:rPr>
                <w:rFonts w:ascii="Arial"/>
                <w:spacing w:val="-5"/>
                <w:w w:val="105"/>
                <w:sz w:val="13"/>
              </w:rPr>
              <w:t>Cultivos</w:t>
            </w:r>
          </w:p>
        </w:tc>
        <w:tc>
          <w:tcPr>
            <w:tcW w:w="975" w:type="dxa"/>
          </w:tcPr>
          <w:p>
            <w:pPr>
              <w:pStyle w:val="TableParagraph"/>
              <w:spacing w:before="12"/>
              <w:ind w:left="165" w:right="159"/>
              <w:jc w:val="center"/>
              <w:rPr>
                <w:rFonts w:ascii="Arial"/>
                <w:sz w:val="13"/>
              </w:rPr>
            </w:pPr>
            <w:r>
              <w:rPr>
                <w:rFonts w:ascii="Arial"/>
                <w:w w:val="105"/>
                <w:sz w:val="13"/>
              </w:rPr>
              <w:t>Demanda</w:t>
            </w:r>
          </w:p>
          <w:p>
            <w:pPr>
              <w:pStyle w:val="TableParagraph"/>
              <w:spacing w:line="130" w:lineRule="exact" w:before="18"/>
              <w:ind w:left="165" w:right="157"/>
              <w:jc w:val="center"/>
              <w:rPr>
                <w:rFonts w:ascii="Arial"/>
                <w:sz w:val="13"/>
              </w:rPr>
            </w:pPr>
            <w:r>
              <w:rPr>
                <w:rFonts w:ascii="Arial"/>
                <w:w w:val="105"/>
                <w:sz w:val="13"/>
              </w:rPr>
              <w:t>B5</w:t>
            </w:r>
          </w:p>
        </w:tc>
        <w:tc>
          <w:tcPr>
            <w:tcW w:w="973" w:type="dxa"/>
            <w:tcBorders>
              <w:right w:val="thinThickMediumGap" w:sz="2" w:space="0" w:color="000000"/>
            </w:tcBorders>
          </w:tcPr>
          <w:p>
            <w:pPr>
              <w:pStyle w:val="TableParagraph"/>
              <w:spacing w:before="12"/>
              <w:ind w:left="173"/>
              <w:rPr>
                <w:rFonts w:ascii="Arial"/>
                <w:sz w:val="13"/>
              </w:rPr>
            </w:pPr>
            <w:r>
              <w:rPr>
                <w:rFonts w:ascii="Arial"/>
                <w:spacing w:val="-4"/>
                <w:w w:val="105"/>
                <w:sz w:val="13"/>
              </w:rPr>
              <w:t>Excedente</w:t>
            </w:r>
          </w:p>
          <w:p>
            <w:pPr>
              <w:pStyle w:val="TableParagraph"/>
              <w:spacing w:line="130" w:lineRule="exact" w:before="18"/>
              <w:ind w:left="173"/>
              <w:rPr>
                <w:rFonts w:ascii="Arial"/>
                <w:sz w:val="13"/>
              </w:rPr>
            </w:pPr>
            <w:r>
              <w:rPr>
                <w:rFonts w:ascii="Arial"/>
                <w:spacing w:val="-4"/>
                <w:w w:val="105"/>
                <w:sz w:val="13"/>
              </w:rPr>
              <w:t>Exportable</w:t>
            </w:r>
          </w:p>
        </w:tc>
        <w:tc>
          <w:tcPr>
            <w:tcW w:w="1133" w:type="dxa"/>
            <w:tcBorders>
              <w:left w:val="thickThinMediumGap" w:sz="2" w:space="0" w:color="000000"/>
            </w:tcBorders>
          </w:tcPr>
          <w:p>
            <w:pPr>
              <w:pStyle w:val="TableParagraph"/>
              <w:spacing w:before="12"/>
              <w:ind w:left="325"/>
              <w:rPr>
                <w:rFonts w:ascii="Arial"/>
                <w:sz w:val="13"/>
              </w:rPr>
            </w:pPr>
            <w:r>
              <w:rPr>
                <w:rFonts w:ascii="Arial"/>
                <w:spacing w:val="-6"/>
                <w:w w:val="105"/>
                <w:sz w:val="13"/>
              </w:rPr>
              <w:t>Nuevos</w:t>
            </w:r>
          </w:p>
          <w:p>
            <w:pPr>
              <w:pStyle w:val="TableParagraph"/>
              <w:spacing w:line="130" w:lineRule="exact" w:before="18"/>
              <w:ind w:left="335"/>
              <w:rPr>
                <w:rFonts w:ascii="Arial"/>
                <w:sz w:val="13"/>
              </w:rPr>
            </w:pPr>
            <w:r>
              <w:rPr>
                <w:rFonts w:ascii="Arial"/>
                <w:spacing w:val="-5"/>
                <w:w w:val="105"/>
                <w:sz w:val="13"/>
              </w:rPr>
              <w:t>Cultivos</w:t>
            </w:r>
          </w:p>
        </w:tc>
        <w:tc>
          <w:tcPr>
            <w:tcW w:w="975" w:type="dxa"/>
          </w:tcPr>
          <w:p>
            <w:pPr>
              <w:pStyle w:val="TableParagraph"/>
              <w:spacing w:before="12"/>
              <w:ind w:left="164" w:right="161"/>
              <w:jc w:val="center"/>
              <w:rPr>
                <w:rFonts w:ascii="Arial"/>
                <w:sz w:val="13"/>
              </w:rPr>
            </w:pPr>
            <w:r>
              <w:rPr>
                <w:rFonts w:ascii="Arial"/>
                <w:w w:val="105"/>
                <w:sz w:val="13"/>
              </w:rPr>
              <w:t>Demanda</w:t>
            </w:r>
          </w:p>
          <w:p>
            <w:pPr>
              <w:pStyle w:val="TableParagraph"/>
              <w:spacing w:line="130" w:lineRule="exact" w:before="18"/>
              <w:ind w:left="165" w:right="160"/>
              <w:jc w:val="center"/>
              <w:rPr>
                <w:rFonts w:ascii="Arial"/>
                <w:sz w:val="13"/>
              </w:rPr>
            </w:pPr>
            <w:r>
              <w:rPr>
                <w:rFonts w:ascii="Arial"/>
                <w:w w:val="105"/>
                <w:sz w:val="13"/>
              </w:rPr>
              <w:t>B5</w:t>
            </w:r>
          </w:p>
        </w:tc>
        <w:tc>
          <w:tcPr>
            <w:tcW w:w="970" w:type="dxa"/>
            <w:tcBorders>
              <w:right w:val="single" w:sz="8" w:space="0" w:color="000000"/>
            </w:tcBorders>
          </w:tcPr>
          <w:p>
            <w:pPr>
              <w:pStyle w:val="TableParagraph"/>
              <w:spacing w:before="12"/>
              <w:ind w:left="171"/>
              <w:rPr>
                <w:rFonts w:ascii="Arial"/>
                <w:sz w:val="13"/>
              </w:rPr>
            </w:pPr>
            <w:r>
              <w:rPr>
                <w:rFonts w:ascii="Arial"/>
                <w:spacing w:val="-4"/>
                <w:w w:val="105"/>
                <w:sz w:val="13"/>
              </w:rPr>
              <w:t>Excedente</w:t>
            </w:r>
          </w:p>
          <w:p>
            <w:pPr>
              <w:pStyle w:val="TableParagraph"/>
              <w:spacing w:line="130" w:lineRule="exact" w:before="18"/>
              <w:ind w:left="171"/>
              <w:rPr>
                <w:rFonts w:ascii="Arial"/>
                <w:sz w:val="13"/>
              </w:rPr>
            </w:pPr>
            <w:r>
              <w:rPr>
                <w:rFonts w:ascii="Arial"/>
                <w:spacing w:val="-5"/>
                <w:w w:val="105"/>
                <w:sz w:val="13"/>
              </w:rPr>
              <w:t>Exportable</w:t>
            </w:r>
          </w:p>
        </w:tc>
      </w:tr>
      <w:tr>
        <w:trPr>
          <w:trHeight w:val="170" w:hRule="atLeast"/>
        </w:trPr>
        <w:tc>
          <w:tcPr>
            <w:tcW w:w="1162" w:type="dxa"/>
            <w:tcBorders>
              <w:left w:val="single" w:sz="4" w:space="0" w:color="000000"/>
              <w:bottom w:val="nil"/>
              <w:right w:val="single" w:sz="8" w:space="0" w:color="000000"/>
            </w:tcBorders>
          </w:tcPr>
          <w:p>
            <w:pPr>
              <w:pStyle w:val="TableParagraph"/>
              <w:spacing w:line="139" w:lineRule="exact" w:before="12"/>
              <w:ind w:left="26"/>
              <w:rPr>
                <w:rFonts w:ascii="Arial" w:hAnsi="Arial"/>
                <w:sz w:val="13"/>
              </w:rPr>
            </w:pPr>
            <w:r>
              <w:rPr>
                <w:rFonts w:ascii="Arial" w:hAnsi="Arial"/>
                <w:w w:val="105"/>
                <w:sz w:val="13"/>
              </w:rPr>
              <w:t>Hectáreas</w:t>
            </w:r>
          </w:p>
        </w:tc>
        <w:tc>
          <w:tcPr>
            <w:tcW w:w="977" w:type="dxa"/>
            <w:tcBorders>
              <w:left w:val="single" w:sz="8" w:space="0" w:color="000000"/>
              <w:bottom w:val="nil"/>
              <w:right w:val="single" w:sz="4" w:space="0" w:color="000000"/>
            </w:tcBorders>
          </w:tcPr>
          <w:p>
            <w:pPr>
              <w:pStyle w:val="TableParagraph"/>
              <w:spacing w:line="139" w:lineRule="exact" w:before="12"/>
              <w:ind w:left="491"/>
              <w:rPr>
                <w:rFonts w:ascii="Arial"/>
                <w:sz w:val="13"/>
              </w:rPr>
            </w:pPr>
            <w:r>
              <w:rPr>
                <w:rFonts w:ascii="Arial"/>
                <w:w w:val="105"/>
                <w:sz w:val="13"/>
              </w:rPr>
              <w:t>13.188</w:t>
            </w:r>
          </w:p>
        </w:tc>
        <w:tc>
          <w:tcPr>
            <w:tcW w:w="974" w:type="dxa"/>
            <w:tcBorders>
              <w:left w:val="single" w:sz="4" w:space="0" w:color="000000"/>
              <w:bottom w:val="nil"/>
            </w:tcBorders>
          </w:tcPr>
          <w:p>
            <w:pPr>
              <w:pStyle w:val="TableParagraph"/>
              <w:spacing w:line="139" w:lineRule="exact" w:before="12"/>
              <w:ind w:right="61"/>
              <w:jc w:val="right"/>
              <w:rPr>
                <w:rFonts w:ascii="Arial"/>
                <w:sz w:val="13"/>
              </w:rPr>
            </w:pPr>
            <w:r>
              <w:rPr>
                <w:rFonts w:ascii="Arial"/>
                <w:w w:val="105"/>
                <w:sz w:val="13"/>
              </w:rPr>
              <w:t>45.000</w:t>
            </w:r>
          </w:p>
        </w:tc>
        <w:tc>
          <w:tcPr>
            <w:tcW w:w="973" w:type="dxa"/>
            <w:tcBorders>
              <w:bottom w:val="nil"/>
            </w:tcBorders>
          </w:tcPr>
          <w:p>
            <w:pPr>
              <w:pStyle w:val="TableParagraph"/>
              <w:spacing w:line="139" w:lineRule="exact" w:before="12"/>
              <w:ind w:right="59"/>
              <w:jc w:val="right"/>
              <w:rPr>
                <w:rFonts w:ascii="Arial"/>
                <w:sz w:val="13"/>
              </w:rPr>
            </w:pPr>
            <w:r>
              <w:rPr>
                <w:rFonts w:ascii="Arial"/>
                <w:w w:val="105"/>
                <w:sz w:val="13"/>
              </w:rPr>
              <w:t>31.812</w:t>
            </w:r>
          </w:p>
        </w:tc>
        <w:tc>
          <w:tcPr>
            <w:tcW w:w="975" w:type="dxa"/>
            <w:tcBorders>
              <w:bottom w:val="nil"/>
            </w:tcBorders>
          </w:tcPr>
          <w:p>
            <w:pPr>
              <w:pStyle w:val="TableParagraph"/>
              <w:rPr>
                <w:rFonts w:ascii="Times New Roman"/>
                <w:sz w:val="10"/>
              </w:rPr>
            </w:pPr>
          </w:p>
        </w:tc>
        <w:tc>
          <w:tcPr>
            <w:tcW w:w="973" w:type="dxa"/>
            <w:tcBorders>
              <w:bottom w:val="nil"/>
              <w:right w:val="thinThickMediumGap" w:sz="2" w:space="0" w:color="000000"/>
            </w:tcBorders>
          </w:tcPr>
          <w:p>
            <w:pPr>
              <w:pStyle w:val="TableParagraph"/>
              <w:rPr>
                <w:rFonts w:ascii="Times New Roman"/>
                <w:sz w:val="10"/>
              </w:rPr>
            </w:pPr>
          </w:p>
        </w:tc>
        <w:tc>
          <w:tcPr>
            <w:tcW w:w="1133" w:type="dxa"/>
            <w:tcBorders>
              <w:left w:val="thickThinMediumGap" w:sz="2" w:space="0" w:color="000000"/>
              <w:bottom w:val="nil"/>
            </w:tcBorders>
          </w:tcPr>
          <w:p>
            <w:pPr>
              <w:pStyle w:val="TableParagraph"/>
              <w:spacing w:line="139" w:lineRule="exact" w:before="12"/>
              <w:ind w:right="61"/>
              <w:jc w:val="right"/>
              <w:rPr>
                <w:rFonts w:ascii="Arial"/>
                <w:sz w:val="13"/>
              </w:rPr>
            </w:pPr>
            <w:r>
              <w:rPr>
                <w:rFonts w:ascii="Arial"/>
                <w:w w:val="105"/>
                <w:sz w:val="13"/>
              </w:rPr>
              <w:t>31.812</w:t>
            </w:r>
          </w:p>
        </w:tc>
        <w:tc>
          <w:tcPr>
            <w:tcW w:w="975" w:type="dxa"/>
            <w:tcBorders>
              <w:bottom w:val="nil"/>
            </w:tcBorders>
          </w:tcPr>
          <w:p>
            <w:pPr>
              <w:pStyle w:val="TableParagraph"/>
              <w:rPr>
                <w:rFonts w:ascii="Times New Roman"/>
                <w:sz w:val="10"/>
              </w:rPr>
            </w:pPr>
          </w:p>
        </w:tc>
        <w:tc>
          <w:tcPr>
            <w:tcW w:w="970" w:type="dxa"/>
            <w:tcBorders>
              <w:bottom w:val="nil"/>
              <w:right w:val="single" w:sz="8" w:space="0" w:color="000000"/>
            </w:tcBorders>
          </w:tcPr>
          <w:p>
            <w:pPr>
              <w:pStyle w:val="TableParagraph"/>
              <w:rPr>
                <w:rFonts w:ascii="Times New Roman"/>
                <w:sz w:val="10"/>
              </w:rPr>
            </w:pPr>
          </w:p>
        </w:tc>
      </w:tr>
      <w:tr>
        <w:trPr>
          <w:trHeight w:val="169" w:hRule="atLeast"/>
        </w:trPr>
        <w:tc>
          <w:tcPr>
            <w:tcW w:w="1162" w:type="dxa"/>
            <w:tcBorders>
              <w:top w:val="nil"/>
              <w:left w:val="single" w:sz="4" w:space="0" w:color="000000"/>
              <w:bottom w:val="nil"/>
              <w:right w:val="single" w:sz="8" w:space="0" w:color="000000"/>
            </w:tcBorders>
          </w:tcPr>
          <w:p>
            <w:pPr>
              <w:pStyle w:val="TableParagraph"/>
              <w:spacing w:line="140" w:lineRule="exact" w:before="9"/>
              <w:ind w:left="26"/>
              <w:rPr>
                <w:rFonts w:ascii="Arial"/>
                <w:sz w:val="13"/>
              </w:rPr>
            </w:pPr>
            <w:r>
              <w:rPr>
                <w:rFonts w:ascii="Arial"/>
                <w:w w:val="105"/>
                <w:sz w:val="13"/>
              </w:rPr>
              <w:t>Aceite (Ton)</w:t>
            </w:r>
          </w:p>
        </w:tc>
        <w:tc>
          <w:tcPr>
            <w:tcW w:w="977" w:type="dxa"/>
            <w:tcBorders>
              <w:top w:val="nil"/>
              <w:left w:val="single" w:sz="8" w:space="0" w:color="000000"/>
              <w:bottom w:val="nil"/>
              <w:right w:val="single" w:sz="4" w:space="0" w:color="000000"/>
            </w:tcBorders>
          </w:tcPr>
          <w:p>
            <w:pPr>
              <w:pStyle w:val="TableParagraph"/>
              <w:rPr>
                <w:rFonts w:ascii="Times New Roman"/>
                <w:sz w:val="10"/>
              </w:rPr>
            </w:pPr>
          </w:p>
        </w:tc>
        <w:tc>
          <w:tcPr>
            <w:tcW w:w="974" w:type="dxa"/>
            <w:tcBorders>
              <w:top w:val="nil"/>
              <w:left w:val="single" w:sz="4" w:space="0" w:color="000000"/>
              <w:bottom w:val="nil"/>
            </w:tcBorders>
          </w:tcPr>
          <w:p>
            <w:pPr>
              <w:pStyle w:val="TableParagraph"/>
              <w:spacing w:line="140" w:lineRule="exact" w:before="9"/>
              <w:ind w:right="60"/>
              <w:jc w:val="right"/>
              <w:rPr>
                <w:rFonts w:ascii="Arial"/>
                <w:sz w:val="13"/>
              </w:rPr>
            </w:pPr>
            <w:r>
              <w:rPr>
                <w:rFonts w:ascii="Arial"/>
                <w:w w:val="105"/>
                <w:sz w:val="13"/>
              </w:rPr>
              <w:t>180.900</w:t>
            </w:r>
          </w:p>
        </w:tc>
        <w:tc>
          <w:tcPr>
            <w:tcW w:w="973" w:type="dxa"/>
            <w:tcBorders>
              <w:top w:val="nil"/>
              <w:bottom w:val="nil"/>
            </w:tcBorders>
          </w:tcPr>
          <w:p>
            <w:pPr>
              <w:pStyle w:val="TableParagraph"/>
              <w:spacing w:line="140" w:lineRule="exact" w:before="9"/>
              <w:ind w:right="59"/>
              <w:jc w:val="right"/>
              <w:rPr>
                <w:rFonts w:ascii="Arial"/>
                <w:sz w:val="13"/>
              </w:rPr>
            </w:pPr>
            <w:r>
              <w:rPr>
                <w:rFonts w:ascii="Arial"/>
                <w:w w:val="105"/>
                <w:sz w:val="13"/>
              </w:rPr>
              <w:t>127.884</w:t>
            </w:r>
          </w:p>
        </w:tc>
        <w:tc>
          <w:tcPr>
            <w:tcW w:w="975" w:type="dxa"/>
            <w:tcBorders>
              <w:top w:val="nil"/>
              <w:bottom w:val="nil"/>
            </w:tcBorders>
          </w:tcPr>
          <w:p>
            <w:pPr>
              <w:pStyle w:val="TableParagraph"/>
              <w:rPr>
                <w:rFonts w:ascii="Times New Roman"/>
                <w:sz w:val="10"/>
              </w:rPr>
            </w:pPr>
          </w:p>
        </w:tc>
        <w:tc>
          <w:tcPr>
            <w:tcW w:w="973" w:type="dxa"/>
            <w:tcBorders>
              <w:top w:val="nil"/>
              <w:bottom w:val="nil"/>
              <w:right w:val="thinThickMediumGap" w:sz="2" w:space="0" w:color="000000"/>
            </w:tcBorders>
          </w:tcPr>
          <w:p>
            <w:pPr>
              <w:pStyle w:val="TableParagraph"/>
              <w:rPr>
                <w:rFonts w:ascii="Times New Roman"/>
                <w:sz w:val="10"/>
              </w:rPr>
            </w:pPr>
          </w:p>
        </w:tc>
        <w:tc>
          <w:tcPr>
            <w:tcW w:w="1133" w:type="dxa"/>
            <w:tcBorders>
              <w:top w:val="nil"/>
              <w:left w:val="thickThinMediumGap" w:sz="2" w:space="0" w:color="000000"/>
              <w:bottom w:val="nil"/>
            </w:tcBorders>
          </w:tcPr>
          <w:p>
            <w:pPr>
              <w:pStyle w:val="TableParagraph"/>
              <w:spacing w:line="140" w:lineRule="exact" w:before="9"/>
              <w:ind w:right="61"/>
              <w:jc w:val="right"/>
              <w:rPr>
                <w:rFonts w:ascii="Arial"/>
                <w:sz w:val="13"/>
              </w:rPr>
            </w:pPr>
            <w:r>
              <w:rPr>
                <w:rFonts w:ascii="Arial"/>
                <w:w w:val="105"/>
                <w:sz w:val="13"/>
              </w:rPr>
              <w:t>127.884</w:t>
            </w:r>
          </w:p>
        </w:tc>
        <w:tc>
          <w:tcPr>
            <w:tcW w:w="975" w:type="dxa"/>
            <w:tcBorders>
              <w:top w:val="nil"/>
              <w:bottom w:val="nil"/>
            </w:tcBorders>
          </w:tcPr>
          <w:p>
            <w:pPr>
              <w:pStyle w:val="TableParagraph"/>
              <w:rPr>
                <w:rFonts w:ascii="Times New Roman"/>
                <w:sz w:val="10"/>
              </w:rPr>
            </w:pPr>
          </w:p>
        </w:tc>
        <w:tc>
          <w:tcPr>
            <w:tcW w:w="970" w:type="dxa"/>
            <w:tcBorders>
              <w:top w:val="nil"/>
              <w:bottom w:val="nil"/>
              <w:right w:val="single" w:sz="8" w:space="0" w:color="000000"/>
            </w:tcBorders>
          </w:tcPr>
          <w:p>
            <w:pPr>
              <w:pStyle w:val="TableParagraph"/>
              <w:rPr>
                <w:rFonts w:ascii="Times New Roman"/>
                <w:sz w:val="10"/>
              </w:rPr>
            </w:pPr>
          </w:p>
        </w:tc>
      </w:tr>
      <w:tr>
        <w:trPr>
          <w:trHeight w:val="157" w:hRule="atLeast"/>
        </w:trPr>
        <w:tc>
          <w:tcPr>
            <w:tcW w:w="1162" w:type="dxa"/>
            <w:tcBorders>
              <w:top w:val="nil"/>
              <w:left w:val="single" w:sz="4" w:space="0" w:color="000000"/>
              <w:bottom w:val="single" w:sz="8" w:space="0" w:color="000000"/>
              <w:right w:val="single" w:sz="8" w:space="0" w:color="000000"/>
            </w:tcBorders>
          </w:tcPr>
          <w:p>
            <w:pPr>
              <w:pStyle w:val="TableParagraph"/>
              <w:spacing w:line="127" w:lineRule="exact" w:before="10"/>
              <w:ind w:left="26"/>
              <w:rPr>
                <w:rFonts w:ascii="Arial"/>
                <w:sz w:val="13"/>
              </w:rPr>
            </w:pPr>
            <w:r>
              <w:rPr>
                <w:rFonts w:ascii="Arial"/>
                <w:w w:val="105"/>
                <w:sz w:val="13"/>
              </w:rPr>
              <w:t>Biodiesel (bbl)</w:t>
            </w:r>
          </w:p>
        </w:tc>
        <w:tc>
          <w:tcPr>
            <w:tcW w:w="977" w:type="dxa"/>
            <w:tcBorders>
              <w:top w:val="nil"/>
              <w:left w:val="single" w:sz="8" w:space="0" w:color="000000"/>
              <w:bottom w:val="single" w:sz="8" w:space="0" w:color="000000"/>
              <w:right w:val="single" w:sz="4" w:space="0" w:color="000000"/>
            </w:tcBorders>
          </w:tcPr>
          <w:p>
            <w:pPr>
              <w:pStyle w:val="TableParagraph"/>
              <w:rPr>
                <w:rFonts w:ascii="Times New Roman"/>
                <w:sz w:val="10"/>
              </w:rPr>
            </w:pPr>
          </w:p>
        </w:tc>
        <w:tc>
          <w:tcPr>
            <w:tcW w:w="974" w:type="dxa"/>
            <w:tcBorders>
              <w:top w:val="nil"/>
              <w:left w:val="single" w:sz="4" w:space="0" w:color="000000"/>
              <w:bottom w:val="single" w:sz="8" w:space="0" w:color="000000"/>
            </w:tcBorders>
          </w:tcPr>
          <w:p>
            <w:pPr>
              <w:pStyle w:val="TableParagraph"/>
              <w:spacing w:line="127" w:lineRule="exact" w:before="10"/>
              <w:ind w:right="60"/>
              <w:jc w:val="right"/>
              <w:rPr>
                <w:rFonts w:ascii="Arial"/>
                <w:sz w:val="13"/>
              </w:rPr>
            </w:pPr>
            <w:r>
              <w:rPr>
                <w:rFonts w:ascii="Arial"/>
                <w:w w:val="105"/>
                <w:sz w:val="13"/>
              </w:rPr>
              <w:t>1.291.194</w:t>
            </w:r>
          </w:p>
        </w:tc>
        <w:tc>
          <w:tcPr>
            <w:tcW w:w="973" w:type="dxa"/>
            <w:tcBorders>
              <w:top w:val="nil"/>
              <w:bottom w:val="single" w:sz="8" w:space="0" w:color="000000"/>
            </w:tcBorders>
          </w:tcPr>
          <w:p>
            <w:pPr>
              <w:pStyle w:val="TableParagraph"/>
              <w:spacing w:line="127" w:lineRule="exact" w:before="10"/>
              <w:ind w:right="59"/>
              <w:jc w:val="right"/>
              <w:rPr>
                <w:rFonts w:ascii="Arial"/>
                <w:sz w:val="13"/>
              </w:rPr>
            </w:pPr>
            <w:r>
              <w:rPr>
                <w:rFonts w:ascii="Arial"/>
                <w:w w:val="105"/>
                <w:sz w:val="13"/>
              </w:rPr>
              <w:t>912.788</w:t>
            </w:r>
          </w:p>
        </w:tc>
        <w:tc>
          <w:tcPr>
            <w:tcW w:w="975" w:type="dxa"/>
            <w:tcBorders>
              <w:top w:val="nil"/>
              <w:bottom w:val="single" w:sz="8" w:space="0" w:color="000000"/>
            </w:tcBorders>
          </w:tcPr>
          <w:p>
            <w:pPr>
              <w:pStyle w:val="TableParagraph"/>
              <w:spacing w:line="127" w:lineRule="exact" w:before="10"/>
              <w:ind w:left="415"/>
              <w:rPr>
                <w:rFonts w:ascii="Arial"/>
                <w:sz w:val="13"/>
              </w:rPr>
            </w:pPr>
            <w:r>
              <w:rPr>
                <w:rFonts w:ascii="Arial"/>
                <w:w w:val="105"/>
                <w:sz w:val="13"/>
              </w:rPr>
              <w:t>317.000</w:t>
            </w:r>
          </w:p>
        </w:tc>
        <w:tc>
          <w:tcPr>
            <w:tcW w:w="973" w:type="dxa"/>
            <w:tcBorders>
              <w:top w:val="nil"/>
              <w:bottom w:val="single" w:sz="8" w:space="0" w:color="000000"/>
              <w:right w:val="thinThickMediumGap" w:sz="2" w:space="0" w:color="000000"/>
            </w:tcBorders>
          </w:tcPr>
          <w:p>
            <w:pPr>
              <w:pStyle w:val="TableParagraph"/>
              <w:spacing w:line="127" w:lineRule="exact" w:before="10"/>
              <w:ind w:left="422"/>
              <w:rPr>
                <w:rFonts w:ascii="Arial"/>
                <w:sz w:val="13"/>
              </w:rPr>
            </w:pPr>
            <w:r>
              <w:rPr>
                <w:rFonts w:ascii="Arial"/>
                <w:w w:val="105"/>
                <w:sz w:val="13"/>
              </w:rPr>
              <w:t>595.788</w:t>
            </w:r>
          </w:p>
        </w:tc>
        <w:tc>
          <w:tcPr>
            <w:tcW w:w="1133" w:type="dxa"/>
            <w:tcBorders>
              <w:top w:val="nil"/>
              <w:left w:val="thickThinMediumGap" w:sz="2" w:space="0" w:color="000000"/>
              <w:bottom w:val="single" w:sz="8" w:space="0" w:color="000000"/>
            </w:tcBorders>
          </w:tcPr>
          <w:p>
            <w:pPr>
              <w:pStyle w:val="TableParagraph"/>
              <w:spacing w:line="127" w:lineRule="exact" w:before="10"/>
              <w:ind w:right="61"/>
              <w:jc w:val="right"/>
              <w:rPr>
                <w:rFonts w:ascii="Arial"/>
                <w:sz w:val="13"/>
              </w:rPr>
            </w:pPr>
            <w:r>
              <w:rPr>
                <w:rFonts w:ascii="Arial"/>
                <w:w w:val="105"/>
                <w:sz w:val="13"/>
              </w:rPr>
              <w:t>912.788</w:t>
            </w:r>
          </w:p>
        </w:tc>
        <w:tc>
          <w:tcPr>
            <w:tcW w:w="975" w:type="dxa"/>
            <w:tcBorders>
              <w:top w:val="nil"/>
              <w:bottom w:val="single" w:sz="8" w:space="0" w:color="000000"/>
            </w:tcBorders>
          </w:tcPr>
          <w:p>
            <w:pPr>
              <w:pStyle w:val="TableParagraph"/>
              <w:spacing w:line="127" w:lineRule="exact" w:before="10"/>
              <w:ind w:left="414"/>
              <w:rPr>
                <w:rFonts w:ascii="Arial"/>
                <w:sz w:val="13"/>
              </w:rPr>
            </w:pPr>
            <w:r>
              <w:rPr>
                <w:rFonts w:ascii="Arial"/>
                <w:w w:val="105"/>
                <w:sz w:val="13"/>
              </w:rPr>
              <w:t>369.000</w:t>
            </w:r>
          </w:p>
        </w:tc>
        <w:tc>
          <w:tcPr>
            <w:tcW w:w="970" w:type="dxa"/>
            <w:tcBorders>
              <w:top w:val="nil"/>
              <w:bottom w:val="single" w:sz="8" w:space="0" w:color="000000"/>
              <w:right w:val="single" w:sz="8" w:space="0" w:color="000000"/>
            </w:tcBorders>
          </w:tcPr>
          <w:p>
            <w:pPr>
              <w:pStyle w:val="TableParagraph"/>
              <w:spacing w:line="127" w:lineRule="exact" w:before="10"/>
              <w:ind w:left="420"/>
              <w:rPr>
                <w:rFonts w:ascii="Arial"/>
                <w:sz w:val="13"/>
              </w:rPr>
            </w:pPr>
            <w:r>
              <w:rPr>
                <w:rFonts w:ascii="Arial"/>
                <w:w w:val="105"/>
                <w:sz w:val="13"/>
              </w:rPr>
              <w:t>543.788</w:t>
            </w:r>
          </w:p>
        </w:tc>
      </w:tr>
    </w:tbl>
    <w:p>
      <w:pPr>
        <w:pStyle w:val="BodyText"/>
        <w:spacing w:before="10"/>
        <w:rPr>
          <w:rFonts w:ascii="Arial"/>
          <w:b/>
          <w:sz w:val="15"/>
        </w:rPr>
      </w:pPr>
    </w:p>
    <w:p>
      <w:pPr>
        <w:spacing w:before="0"/>
        <w:ind w:left="388" w:right="0" w:firstLine="0"/>
        <w:jc w:val="left"/>
        <w:rPr>
          <w:rFonts w:ascii="Arial"/>
          <w:b/>
          <w:sz w:val="13"/>
        </w:rPr>
      </w:pPr>
      <w:r>
        <w:rPr>
          <w:rFonts w:ascii="Arial"/>
          <w:b/>
          <w:spacing w:val="-4"/>
          <w:w w:val="105"/>
          <w:sz w:val="13"/>
        </w:rPr>
        <w:t>ESCENARIO</w:t>
      </w:r>
      <w:r>
        <w:rPr>
          <w:rFonts w:ascii="Arial"/>
          <w:b/>
          <w:spacing w:val="6"/>
          <w:w w:val="105"/>
          <w:sz w:val="13"/>
        </w:rPr>
        <w:t> </w:t>
      </w:r>
      <w:r>
        <w:rPr>
          <w:rFonts w:ascii="Arial"/>
          <w:b/>
          <w:spacing w:val="-5"/>
          <w:w w:val="105"/>
          <w:sz w:val="13"/>
        </w:rPr>
        <w:t>ALTO</w:t>
      </w:r>
    </w:p>
    <w:p>
      <w:pPr>
        <w:pStyle w:val="BodyText"/>
        <w:spacing w:before="6"/>
        <w:rPr>
          <w:rFonts w:ascii="Arial"/>
          <w:b/>
          <w:sz w:val="14"/>
        </w:rPr>
      </w:pPr>
    </w:p>
    <w:tbl>
      <w:tblPr>
        <w:tblW w:w="0" w:type="auto"/>
        <w:jc w:val="left"/>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2"/>
        <w:gridCol w:w="977"/>
        <w:gridCol w:w="974"/>
        <w:gridCol w:w="973"/>
        <w:gridCol w:w="975"/>
        <w:gridCol w:w="973"/>
        <w:gridCol w:w="1133"/>
        <w:gridCol w:w="975"/>
        <w:gridCol w:w="970"/>
      </w:tblGrid>
      <w:tr>
        <w:trPr>
          <w:trHeight w:val="156" w:hRule="atLeast"/>
        </w:trPr>
        <w:tc>
          <w:tcPr>
            <w:tcW w:w="1162" w:type="dxa"/>
            <w:vMerge w:val="restart"/>
            <w:tcBorders>
              <w:top w:val="nil"/>
              <w:left w:val="nil"/>
            </w:tcBorders>
          </w:tcPr>
          <w:p>
            <w:pPr>
              <w:pStyle w:val="TableParagraph"/>
              <w:rPr>
                <w:rFonts w:ascii="Times New Roman"/>
                <w:sz w:val="18"/>
              </w:rPr>
            </w:pPr>
          </w:p>
        </w:tc>
        <w:tc>
          <w:tcPr>
            <w:tcW w:w="4872" w:type="dxa"/>
            <w:gridSpan w:val="5"/>
            <w:tcBorders>
              <w:bottom w:val="single" w:sz="6" w:space="0" w:color="000000"/>
              <w:right w:val="thinThickMediumGap" w:sz="2" w:space="0" w:color="000000"/>
            </w:tcBorders>
          </w:tcPr>
          <w:p>
            <w:pPr>
              <w:pStyle w:val="TableParagraph"/>
              <w:spacing w:line="126" w:lineRule="exact" w:before="11"/>
              <w:ind w:left="2084" w:right="2076"/>
              <w:jc w:val="center"/>
              <w:rPr>
                <w:rFonts w:ascii="Arial"/>
                <w:b/>
                <w:sz w:val="13"/>
              </w:rPr>
            </w:pPr>
            <w:r>
              <w:rPr>
                <w:rFonts w:ascii="Arial"/>
                <w:b/>
                <w:w w:val="105"/>
                <w:sz w:val="13"/>
              </w:rPr>
              <w:t>Meta 2012</w:t>
            </w:r>
          </w:p>
        </w:tc>
        <w:tc>
          <w:tcPr>
            <w:tcW w:w="3078" w:type="dxa"/>
            <w:gridSpan w:val="3"/>
            <w:tcBorders>
              <w:left w:val="thickThinMediumGap" w:sz="2" w:space="0" w:color="000000"/>
              <w:bottom w:val="single" w:sz="6" w:space="0" w:color="000000"/>
            </w:tcBorders>
          </w:tcPr>
          <w:p>
            <w:pPr>
              <w:pStyle w:val="TableParagraph"/>
              <w:spacing w:line="126" w:lineRule="exact" w:before="11"/>
              <w:ind w:left="1187" w:right="1180"/>
              <w:jc w:val="center"/>
              <w:rPr>
                <w:rFonts w:ascii="Arial"/>
                <w:b/>
                <w:sz w:val="13"/>
              </w:rPr>
            </w:pPr>
            <w:r>
              <w:rPr>
                <w:rFonts w:ascii="Arial"/>
                <w:b/>
                <w:w w:val="105"/>
                <w:sz w:val="13"/>
              </w:rPr>
              <w:t>Meta 2020</w:t>
            </w:r>
          </w:p>
        </w:tc>
      </w:tr>
      <w:tr>
        <w:trPr>
          <w:trHeight w:val="326" w:hRule="atLeast"/>
        </w:trPr>
        <w:tc>
          <w:tcPr>
            <w:tcW w:w="1162" w:type="dxa"/>
            <w:vMerge/>
            <w:tcBorders>
              <w:top w:val="nil"/>
              <w:left w:val="nil"/>
            </w:tcBorders>
          </w:tcPr>
          <w:p>
            <w:pPr>
              <w:rPr>
                <w:sz w:val="2"/>
                <w:szCs w:val="2"/>
              </w:rPr>
            </w:pPr>
          </w:p>
        </w:tc>
        <w:tc>
          <w:tcPr>
            <w:tcW w:w="977" w:type="dxa"/>
            <w:tcBorders>
              <w:top w:val="single" w:sz="6" w:space="0" w:color="000000"/>
              <w:right w:val="single" w:sz="4" w:space="0" w:color="000000"/>
            </w:tcBorders>
          </w:tcPr>
          <w:p>
            <w:pPr>
              <w:pStyle w:val="TableParagraph"/>
              <w:spacing w:before="5"/>
              <w:rPr>
                <w:rFonts w:ascii="Arial"/>
                <w:b/>
                <w:sz w:val="15"/>
              </w:rPr>
            </w:pPr>
          </w:p>
          <w:p>
            <w:pPr>
              <w:pStyle w:val="TableParagraph"/>
              <w:spacing w:line="129" w:lineRule="exact"/>
              <w:ind w:left="186"/>
              <w:rPr>
                <w:rFonts w:ascii="Arial"/>
                <w:sz w:val="13"/>
              </w:rPr>
            </w:pPr>
            <w:r>
              <w:rPr>
                <w:rFonts w:ascii="Arial"/>
                <w:w w:val="105"/>
                <w:sz w:val="13"/>
              </w:rPr>
              <w:t>Sembrada</w:t>
            </w:r>
          </w:p>
        </w:tc>
        <w:tc>
          <w:tcPr>
            <w:tcW w:w="974" w:type="dxa"/>
            <w:tcBorders>
              <w:top w:val="single" w:sz="6" w:space="0" w:color="000000"/>
              <w:left w:val="single" w:sz="4" w:space="0" w:color="000000"/>
              <w:right w:val="single" w:sz="6" w:space="0" w:color="000000"/>
            </w:tcBorders>
          </w:tcPr>
          <w:p>
            <w:pPr>
              <w:pStyle w:val="TableParagraph"/>
              <w:spacing w:before="5"/>
              <w:rPr>
                <w:rFonts w:ascii="Arial"/>
                <w:b/>
                <w:sz w:val="15"/>
              </w:rPr>
            </w:pPr>
          </w:p>
          <w:p>
            <w:pPr>
              <w:pStyle w:val="TableParagraph"/>
              <w:spacing w:line="129" w:lineRule="exact"/>
              <w:ind w:left="220"/>
              <w:rPr>
                <w:rFonts w:ascii="Arial"/>
                <w:sz w:val="13"/>
              </w:rPr>
            </w:pPr>
            <w:r>
              <w:rPr>
                <w:rFonts w:ascii="Arial"/>
                <w:w w:val="105"/>
                <w:sz w:val="13"/>
              </w:rPr>
              <w:t>Potencial</w:t>
            </w:r>
          </w:p>
        </w:tc>
        <w:tc>
          <w:tcPr>
            <w:tcW w:w="973" w:type="dxa"/>
            <w:tcBorders>
              <w:top w:val="single" w:sz="6" w:space="0" w:color="000000"/>
              <w:left w:val="single" w:sz="6" w:space="0" w:color="000000"/>
              <w:right w:val="single" w:sz="6" w:space="0" w:color="000000"/>
            </w:tcBorders>
          </w:tcPr>
          <w:p>
            <w:pPr>
              <w:pStyle w:val="TableParagraph"/>
              <w:spacing w:before="9"/>
              <w:ind w:left="273"/>
              <w:rPr>
                <w:rFonts w:ascii="Arial"/>
                <w:sz w:val="13"/>
              </w:rPr>
            </w:pPr>
            <w:r>
              <w:rPr>
                <w:rFonts w:ascii="Arial"/>
                <w:spacing w:val="-6"/>
                <w:w w:val="105"/>
                <w:sz w:val="13"/>
              </w:rPr>
              <w:t>Nuevos</w:t>
            </w:r>
          </w:p>
          <w:p>
            <w:pPr>
              <w:pStyle w:val="TableParagraph"/>
              <w:spacing w:line="129" w:lineRule="exact" w:before="19"/>
              <w:ind w:left="280"/>
              <w:rPr>
                <w:rFonts w:ascii="Arial"/>
                <w:sz w:val="13"/>
              </w:rPr>
            </w:pPr>
            <w:r>
              <w:rPr>
                <w:rFonts w:ascii="Arial"/>
                <w:spacing w:val="-5"/>
                <w:w w:val="105"/>
                <w:sz w:val="13"/>
              </w:rPr>
              <w:t>Cultivos</w:t>
            </w:r>
          </w:p>
        </w:tc>
        <w:tc>
          <w:tcPr>
            <w:tcW w:w="975" w:type="dxa"/>
            <w:tcBorders>
              <w:top w:val="single" w:sz="6" w:space="0" w:color="000000"/>
              <w:left w:val="single" w:sz="6" w:space="0" w:color="000000"/>
              <w:right w:val="single" w:sz="6" w:space="0" w:color="000000"/>
            </w:tcBorders>
          </w:tcPr>
          <w:p>
            <w:pPr>
              <w:pStyle w:val="TableParagraph"/>
              <w:spacing w:before="9"/>
              <w:ind w:left="165" w:right="159"/>
              <w:jc w:val="center"/>
              <w:rPr>
                <w:rFonts w:ascii="Arial"/>
                <w:sz w:val="13"/>
              </w:rPr>
            </w:pPr>
            <w:r>
              <w:rPr>
                <w:rFonts w:ascii="Arial"/>
                <w:w w:val="105"/>
                <w:sz w:val="13"/>
              </w:rPr>
              <w:t>Demanda</w:t>
            </w:r>
          </w:p>
          <w:p>
            <w:pPr>
              <w:pStyle w:val="TableParagraph"/>
              <w:spacing w:line="129" w:lineRule="exact" w:before="19"/>
              <w:ind w:left="165" w:right="157"/>
              <w:jc w:val="center"/>
              <w:rPr>
                <w:rFonts w:ascii="Arial"/>
                <w:sz w:val="13"/>
              </w:rPr>
            </w:pPr>
            <w:r>
              <w:rPr>
                <w:rFonts w:ascii="Arial"/>
                <w:w w:val="105"/>
                <w:sz w:val="13"/>
              </w:rPr>
              <w:t>B5</w:t>
            </w:r>
          </w:p>
        </w:tc>
        <w:tc>
          <w:tcPr>
            <w:tcW w:w="973" w:type="dxa"/>
            <w:tcBorders>
              <w:top w:val="single" w:sz="6" w:space="0" w:color="000000"/>
              <w:left w:val="single" w:sz="6" w:space="0" w:color="000000"/>
              <w:right w:val="thinThickMediumGap" w:sz="2" w:space="0" w:color="000000"/>
            </w:tcBorders>
          </w:tcPr>
          <w:p>
            <w:pPr>
              <w:pStyle w:val="TableParagraph"/>
              <w:spacing w:before="9"/>
              <w:ind w:left="173"/>
              <w:rPr>
                <w:rFonts w:ascii="Arial"/>
                <w:sz w:val="13"/>
              </w:rPr>
            </w:pPr>
            <w:r>
              <w:rPr>
                <w:rFonts w:ascii="Arial"/>
                <w:spacing w:val="-4"/>
                <w:w w:val="105"/>
                <w:sz w:val="13"/>
              </w:rPr>
              <w:t>Excedente</w:t>
            </w:r>
          </w:p>
          <w:p>
            <w:pPr>
              <w:pStyle w:val="TableParagraph"/>
              <w:spacing w:line="129" w:lineRule="exact" w:before="19"/>
              <w:ind w:left="173"/>
              <w:rPr>
                <w:rFonts w:ascii="Arial"/>
                <w:sz w:val="13"/>
              </w:rPr>
            </w:pPr>
            <w:r>
              <w:rPr>
                <w:rFonts w:ascii="Arial"/>
                <w:spacing w:val="-4"/>
                <w:w w:val="105"/>
                <w:sz w:val="13"/>
              </w:rPr>
              <w:t>Exportable</w:t>
            </w:r>
          </w:p>
        </w:tc>
        <w:tc>
          <w:tcPr>
            <w:tcW w:w="1133" w:type="dxa"/>
            <w:tcBorders>
              <w:top w:val="single" w:sz="6" w:space="0" w:color="000000"/>
              <w:left w:val="thickThinMediumGap" w:sz="2" w:space="0" w:color="000000"/>
              <w:right w:val="single" w:sz="6" w:space="0" w:color="000000"/>
            </w:tcBorders>
          </w:tcPr>
          <w:p>
            <w:pPr>
              <w:pStyle w:val="TableParagraph"/>
              <w:spacing w:before="9"/>
              <w:ind w:left="326"/>
              <w:rPr>
                <w:rFonts w:ascii="Arial"/>
                <w:sz w:val="13"/>
              </w:rPr>
            </w:pPr>
            <w:r>
              <w:rPr>
                <w:rFonts w:ascii="Arial"/>
                <w:spacing w:val="-6"/>
                <w:w w:val="105"/>
                <w:sz w:val="13"/>
              </w:rPr>
              <w:t>Nuevos</w:t>
            </w:r>
          </w:p>
          <w:p>
            <w:pPr>
              <w:pStyle w:val="TableParagraph"/>
              <w:spacing w:line="129" w:lineRule="exact" w:before="19"/>
              <w:ind w:left="335"/>
              <w:rPr>
                <w:rFonts w:ascii="Arial"/>
                <w:sz w:val="13"/>
              </w:rPr>
            </w:pPr>
            <w:r>
              <w:rPr>
                <w:rFonts w:ascii="Arial"/>
                <w:spacing w:val="-5"/>
                <w:w w:val="105"/>
                <w:sz w:val="13"/>
              </w:rPr>
              <w:t>Cultivos</w:t>
            </w:r>
          </w:p>
        </w:tc>
        <w:tc>
          <w:tcPr>
            <w:tcW w:w="975" w:type="dxa"/>
            <w:tcBorders>
              <w:top w:val="single" w:sz="6" w:space="0" w:color="000000"/>
              <w:left w:val="single" w:sz="6" w:space="0" w:color="000000"/>
              <w:right w:val="single" w:sz="6" w:space="0" w:color="000000"/>
            </w:tcBorders>
          </w:tcPr>
          <w:p>
            <w:pPr>
              <w:pStyle w:val="TableParagraph"/>
              <w:spacing w:before="9"/>
              <w:ind w:left="164" w:right="161"/>
              <w:jc w:val="center"/>
              <w:rPr>
                <w:rFonts w:ascii="Arial"/>
                <w:sz w:val="13"/>
              </w:rPr>
            </w:pPr>
            <w:r>
              <w:rPr>
                <w:rFonts w:ascii="Arial"/>
                <w:w w:val="105"/>
                <w:sz w:val="13"/>
              </w:rPr>
              <w:t>Demanda</w:t>
            </w:r>
          </w:p>
          <w:p>
            <w:pPr>
              <w:pStyle w:val="TableParagraph"/>
              <w:spacing w:line="129" w:lineRule="exact" w:before="19"/>
              <w:ind w:left="165" w:right="160"/>
              <w:jc w:val="center"/>
              <w:rPr>
                <w:rFonts w:ascii="Arial"/>
                <w:sz w:val="13"/>
              </w:rPr>
            </w:pPr>
            <w:r>
              <w:rPr>
                <w:rFonts w:ascii="Arial"/>
                <w:w w:val="105"/>
                <w:sz w:val="13"/>
              </w:rPr>
              <w:t>B5</w:t>
            </w:r>
          </w:p>
        </w:tc>
        <w:tc>
          <w:tcPr>
            <w:tcW w:w="970" w:type="dxa"/>
            <w:tcBorders>
              <w:top w:val="single" w:sz="6" w:space="0" w:color="000000"/>
              <w:left w:val="single" w:sz="6" w:space="0" w:color="000000"/>
            </w:tcBorders>
          </w:tcPr>
          <w:p>
            <w:pPr>
              <w:pStyle w:val="TableParagraph"/>
              <w:spacing w:before="9"/>
              <w:ind w:left="171"/>
              <w:rPr>
                <w:rFonts w:ascii="Arial"/>
                <w:sz w:val="13"/>
              </w:rPr>
            </w:pPr>
            <w:r>
              <w:rPr>
                <w:rFonts w:ascii="Arial"/>
                <w:spacing w:val="-4"/>
                <w:w w:val="105"/>
                <w:sz w:val="13"/>
              </w:rPr>
              <w:t>Excedente</w:t>
            </w:r>
          </w:p>
          <w:p>
            <w:pPr>
              <w:pStyle w:val="TableParagraph"/>
              <w:spacing w:line="129" w:lineRule="exact" w:before="19"/>
              <w:ind w:left="171"/>
              <w:rPr>
                <w:rFonts w:ascii="Arial"/>
                <w:sz w:val="13"/>
              </w:rPr>
            </w:pPr>
            <w:r>
              <w:rPr>
                <w:rFonts w:ascii="Arial"/>
                <w:spacing w:val="-5"/>
                <w:w w:val="105"/>
                <w:sz w:val="13"/>
              </w:rPr>
              <w:t>Exportable</w:t>
            </w:r>
          </w:p>
        </w:tc>
      </w:tr>
      <w:tr>
        <w:trPr>
          <w:trHeight w:val="166" w:hRule="atLeast"/>
        </w:trPr>
        <w:tc>
          <w:tcPr>
            <w:tcW w:w="1162" w:type="dxa"/>
            <w:tcBorders>
              <w:left w:val="single" w:sz="4" w:space="0" w:color="000000"/>
              <w:bottom w:val="nil"/>
            </w:tcBorders>
          </w:tcPr>
          <w:p>
            <w:pPr>
              <w:pStyle w:val="TableParagraph"/>
              <w:spacing w:line="139" w:lineRule="exact" w:before="8"/>
              <w:ind w:left="26"/>
              <w:rPr>
                <w:rFonts w:ascii="Arial" w:hAnsi="Arial"/>
                <w:sz w:val="13"/>
              </w:rPr>
            </w:pPr>
            <w:r>
              <w:rPr>
                <w:rFonts w:ascii="Arial" w:hAnsi="Arial"/>
                <w:w w:val="105"/>
                <w:sz w:val="13"/>
              </w:rPr>
              <w:t>Hectáreas</w:t>
            </w:r>
          </w:p>
        </w:tc>
        <w:tc>
          <w:tcPr>
            <w:tcW w:w="977" w:type="dxa"/>
            <w:tcBorders>
              <w:bottom w:val="nil"/>
              <w:right w:val="single" w:sz="4" w:space="0" w:color="000000"/>
            </w:tcBorders>
          </w:tcPr>
          <w:p>
            <w:pPr>
              <w:pStyle w:val="TableParagraph"/>
              <w:spacing w:line="139" w:lineRule="exact" w:before="8"/>
              <w:ind w:left="491"/>
              <w:rPr>
                <w:rFonts w:ascii="Arial"/>
                <w:sz w:val="13"/>
              </w:rPr>
            </w:pPr>
            <w:r>
              <w:rPr>
                <w:rFonts w:ascii="Arial"/>
                <w:w w:val="105"/>
                <w:sz w:val="13"/>
              </w:rPr>
              <w:t>13.188</w:t>
            </w:r>
          </w:p>
        </w:tc>
        <w:tc>
          <w:tcPr>
            <w:tcW w:w="974" w:type="dxa"/>
            <w:tcBorders>
              <w:left w:val="single" w:sz="4" w:space="0" w:color="000000"/>
              <w:bottom w:val="nil"/>
              <w:right w:val="single" w:sz="6" w:space="0" w:color="000000"/>
            </w:tcBorders>
          </w:tcPr>
          <w:p>
            <w:pPr>
              <w:pStyle w:val="TableParagraph"/>
              <w:spacing w:line="139" w:lineRule="exact" w:before="8"/>
              <w:ind w:right="61"/>
              <w:jc w:val="right"/>
              <w:rPr>
                <w:rFonts w:ascii="Arial"/>
                <w:sz w:val="13"/>
              </w:rPr>
            </w:pPr>
            <w:r>
              <w:rPr>
                <w:rFonts w:ascii="Arial"/>
                <w:w w:val="105"/>
                <w:sz w:val="13"/>
              </w:rPr>
              <w:t>45.000</w:t>
            </w:r>
          </w:p>
        </w:tc>
        <w:tc>
          <w:tcPr>
            <w:tcW w:w="973" w:type="dxa"/>
            <w:tcBorders>
              <w:left w:val="single" w:sz="6" w:space="0" w:color="000000"/>
              <w:bottom w:val="nil"/>
              <w:right w:val="single" w:sz="6" w:space="0" w:color="000000"/>
            </w:tcBorders>
          </w:tcPr>
          <w:p>
            <w:pPr>
              <w:pStyle w:val="TableParagraph"/>
              <w:spacing w:line="139" w:lineRule="exact" w:before="8"/>
              <w:ind w:right="59"/>
              <w:jc w:val="right"/>
              <w:rPr>
                <w:rFonts w:ascii="Arial"/>
                <w:sz w:val="13"/>
              </w:rPr>
            </w:pPr>
            <w:r>
              <w:rPr>
                <w:rFonts w:ascii="Arial"/>
                <w:w w:val="105"/>
                <w:sz w:val="13"/>
              </w:rPr>
              <w:t>31.812</w:t>
            </w:r>
          </w:p>
        </w:tc>
        <w:tc>
          <w:tcPr>
            <w:tcW w:w="975" w:type="dxa"/>
            <w:tcBorders>
              <w:left w:val="single" w:sz="6" w:space="0" w:color="000000"/>
              <w:bottom w:val="nil"/>
              <w:right w:val="single" w:sz="6" w:space="0" w:color="000000"/>
            </w:tcBorders>
          </w:tcPr>
          <w:p>
            <w:pPr>
              <w:pStyle w:val="TableParagraph"/>
              <w:rPr>
                <w:rFonts w:ascii="Times New Roman"/>
                <w:sz w:val="10"/>
              </w:rPr>
            </w:pPr>
          </w:p>
        </w:tc>
        <w:tc>
          <w:tcPr>
            <w:tcW w:w="973" w:type="dxa"/>
            <w:tcBorders>
              <w:left w:val="single" w:sz="6" w:space="0" w:color="000000"/>
              <w:bottom w:val="nil"/>
              <w:right w:val="thinThickMediumGap" w:sz="2" w:space="0" w:color="000000"/>
            </w:tcBorders>
          </w:tcPr>
          <w:p>
            <w:pPr>
              <w:pStyle w:val="TableParagraph"/>
              <w:rPr>
                <w:rFonts w:ascii="Times New Roman"/>
                <w:sz w:val="10"/>
              </w:rPr>
            </w:pPr>
          </w:p>
        </w:tc>
        <w:tc>
          <w:tcPr>
            <w:tcW w:w="1133" w:type="dxa"/>
            <w:tcBorders>
              <w:left w:val="thickThinMediumGap" w:sz="2" w:space="0" w:color="000000"/>
              <w:bottom w:val="nil"/>
              <w:right w:val="single" w:sz="6" w:space="0" w:color="000000"/>
            </w:tcBorders>
          </w:tcPr>
          <w:p>
            <w:pPr>
              <w:pStyle w:val="TableParagraph"/>
              <w:spacing w:line="139" w:lineRule="exact" w:before="8"/>
              <w:ind w:right="61"/>
              <w:jc w:val="right"/>
              <w:rPr>
                <w:rFonts w:ascii="Arial"/>
                <w:sz w:val="13"/>
              </w:rPr>
            </w:pPr>
            <w:r>
              <w:rPr>
                <w:rFonts w:ascii="Arial"/>
                <w:w w:val="105"/>
                <w:sz w:val="13"/>
              </w:rPr>
              <w:t>105.000</w:t>
            </w:r>
          </w:p>
        </w:tc>
        <w:tc>
          <w:tcPr>
            <w:tcW w:w="975" w:type="dxa"/>
            <w:tcBorders>
              <w:left w:val="single" w:sz="6" w:space="0" w:color="000000"/>
              <w:bottom w:val="nil"/>
              <w:right w:val="single" w:sz="6" w:space="0" w:color="000000"/>
            </w:tcBorders>
          </w:tcPr>
          <w:p>
            <w:pPr>
              <w:pStyle w:val="TableParagraph"/>
              <w:rPr>
                <w:rFonts w:ascii="Times New Roman"/>
                <w:sz w:val="10"/>
              </w:rPr>
            </w:pPr>
          </w:p>
        </w:tc>
        <w:tc>
          <w:tcPr>
            <w:tcW w:w="970" w:type="dxa"/>
            <w:tcBorders>
              <w:left w:val="single" w:sz="6" w:space="0" w:color="000000"/>
              <w:bottom w:val="nil"/>
            </w:tcBorders>
          </w:tcPr>
          <w:p>
            <w:pPr>
              <w:pStyle w:val="TableParagraph"/>
              <w:rPr>
                <w:rFonts w:ascii="Times New Roman"/>
                <w:sz w:val="10"/>
              </w:rPr>
            </w:pPr>
          </w:p>
        </w:tc>
      </w:tr>
      <w:tr>
        <w:trPr>
          <w:trHeight w:val="169" w:hRule="atLeast"/>
        </w:trPr>
        <w:tc>
          <w:tcPr>
            <w:tcW w:w="1162" w:type="dxa"/>
            <w:tcBorders>
              <w:top w:val="nil"/>
              <w:left w:val="single" w:sz="4" w:space="0" w:color="000000"/>
              <w:bottom w:val="nil"/>
            </w:tcBorders>
          </w:tcPr>
          <w:p>
            <w:pPr>
              <w:pStyle w:val="TableParagraph"/>
              <w:spacing w:line="140" w:lineRule="exact" w:before="9"/>
              <w:ind w:left="26"/>
              <w:rPr>
                <w:rFonts w:ascii="Arial"/>
                <w:sz w:val="13"/>
              </w:rPr>
            </w:pPr>
            <w:r>
              <w:rPr>
                <w:rFonts w:ascii="Arial"/>
                <w:w w:val="105"/>
                <w:sz w:val="13"/>
              </w:rPr>
              <w:t>Aceite (Ton)</w:t>
            </w:r>
          </w:p>
        </w:tc>
        <w:tc>
          <w:tcPr>
            <w:tcW w:w="977" w:type="dxa"/>
            <w:tcBorders>
              <w:top w:val="nil"/>
              <w:bottom w:val="nil"/>
              <w:right w:val="single" w:sz="4" w:space="0" w:color="000000"/>
            </w:tcBorders>
          </w:tcPr>
          <w:p>
            <w:pPr>
              <w:pStyle w:val="TableParagraph"/>
              <w:rPr>
                <w:rFonts w:ascii="Times New Roman"/>
                <w:sz w:val="10"/>
              </w:rPr>
            </w:pPr>
          </w:p>
        </w:tc>
        <w:tc>
          <w:tcPr>
            <w:tcW w:w="974" w:type="dxa"/>
            <w:tcBorders>
              <w:top w:val="nil"/>
              <w:left w:val="single" w:sz="4" w:space="0" w:color="000000"/>
              <w:bottom w:val="nil"/>
              <w:right w:val="single" w:sz="6" w:space="0" w:color="000000"/>
            </w:tcBorders>
          </w:tcPr>
          <w:p>
            <w:pPr>
              <w:pStyle w:val="TableParagraph"/>
              <w:spacing w:line="140" w:lineRule="exact" w:before="9"/>
              <w:ind w:right="60"/>
              <w:jc w:val="right"/>
              <w:rPr>
                <w:rFonts w:ascii="Arial"/>
                <w:sz w:val="13"/>
              </w:rPr>
            </w:pPr>
            <w:r>
              <w:rPr>
                <w:rFonts w:ascii="Arial"/>
                <w:w w:val="105"/>
                <w:sz w:val="13"/>
              </w:rPr>
              <w:t>180.900</w:t>
            </w:r>
          </w:p>
        </w:tc>
        <w:tc>
          <w:tcPr>
            <w:tcW w:w="973" w:type="dxa"/>
            <w:tcBorders>
              <w:top w:val="nil"/>
              <w:left w:val="single" w:sz="6" w:space="0" w:color="000000"/>
              <w:bottom w:val="nil"/>
              <w:right w:val="single" w:sz="6" w:space="0" w:color="000000"/>
            </w:tcBorders>
          </w:tcPr>
          <w:p>
            <w:pPr>
              <w:pStyle w:val="TableParagraph"/>
              <w:spacing w:line="140" w:lineRule="exact" w:before="9"/>
              <w:ind w:right="59"/>
              <w:jc w:val="right"/>
              <w:rPr>
                <w:rFonts w:ascii="Arial"/>
                <w:sz w:val="13"/>
              </w:rPr>
            </w:pPr>
            <w:r>
              <w:rPr>
                <w:rFonts w:ascii="Arial"/>
                <w:w w:val="105"/>
                <w:sz w:val="13"/>
              </w:rPr>
              <w:t>127.884</w:t>
            </w:r>
          </w:p>
        </w:tc>
        <w:tc>
          <w:tcPr>
            <w:tcW w:w="975" w:type="dxa"/>
            <w:tcBorders>
              <w:top w:val="nil"/>
              <w:left w:val="single" w:sz="6" w:space="0" w:color="000000"/>
              <w:bottom w:val="nil"/>
              <w:right w:val="single" w:sz="6" w:space="0" w:color="000000"/>
            </w:tcBorders>
          </w:tcPr>
          <w:p>
            <w:pPr>
              <w:pStyle w:val="TableParagraph"/>
              <w:rPr>
                <w:rFonts w:ascii="Times New Roman"/>
                <w:sz w:val="10"/>
              </w:rPr>
            </w:pPr>
          </w:p>
        </w:tc>
        <w:tc>
          <w:tcPr>
            <w:tcW w:w="973" w:type="dxa"/>
            <w:tcBorders>
              <w:top w:val="nil"/>
              <w:left w:val="single" w:sz="6" w:space="0" w:color="000000"/>
              <w:bottom w:val="nil"/>
              <w:right w:val="thinThickMediumGap" w:sz="2" w:space="0" w:color="000000"/>
            </w:tcBorders>
          </w:tcPr>
          <w:p>
            <w:pPr>
              <w:pStyle w:val="TableParagraph"/>
              <w:rPr>
                <w:rFonts w:ascii="Times New Roman"/>
                <w:sz w:val="10"/>
              </w:rPr>
            </w:pPr>
          </w:p>
        </w:tc>
        <w:tc>
          <w:tcPr>
            <w:tcW w:w="1133" w:type="dxa"/>
            <w:tcBorders>
              <w:top w:val="nil"/>
              <w:left w:val="thickThinMediumGap" w:sz="2" w:space="0" w:color="000000"/>
              <w:bottom w:val="nil"/>
              <w:right w:val="single" w:sz="6" w:space="0" w:color="000000"/>
            </w:tcBorders>
          </w:tcPr>
          <w:p>
            <w:pPr>
              <w:pStyle w:val="TableParagraph"/>
              <w:spacing w:line="140" w:lineRule="exact" w:before="9"/>
              <w:ind w:right="61"/>
              <w:jc w:val="right"/>
              <w:rPr>
                <w:rFonts w:ascii="Arial"/>
                <w:sz w:val="13"/>
              </w:rPr>
            </w:pPr>
            <w:r>
              <w:rPr>
                <w:rFonts w:ascii="Arial"/>
                <w:w w:val="105"/>
                <w:sz w:val="13"/>
              </w:rPr>
              <w:t>422.100</w:t>
            </w:r>
          </w:p>
        </w:tc>
        <w:tc>
          <w:tcPr>
            <w:tcW w:w="975" w:type="dxa"/>
            <w:tcBorders>
              <w:top w:val="nil"/>
              <w:left w:val="single" w:sz="6" w:space="0" w:color="000000"/>
              <w:bottom w:val="nil"/>
              <w:right w:val="single" w:sz="6" w:space="0" w:color="000000"/>
            </w:tcBorders>
          </w:tcPr>
          <w:p>
            <w:pPr>
              <w:pStyle w:val="TableParagraph"/>
              <w:rPr>
                <w:rFonts w:ascii="Times New Roman"/>
                <w:sz w:val="10"/>
              </w:rPr>
            </w:pPr>
          </w:p>
        </w:tc>
        <w:tc>
          <w:tcPr>
            <w:tcW w:w="970" w:type="dxa"/>
            <w:tcBorders>
              <w:top w:val="nil"/>
              <w:left w:val="single" w:sz="6" w:space="0" w:color="000000"/>
              <w:bottom w:val="nil"/>
            </w:tcBorders>
          </w:tcPr>
          <w:p>
            <w:pPr>
              <w:pStyle w:val="TableParagraph"/>
              <w:rPr>
                <w:rFonts w:ascii="Times New Roman"/>
                <w:sz w:val="10"/>
              </w:rPr>
            </w:pPr>
          </w:p>
        </w:tc>
      </w:tr>
      <w:tr>
        <w:trPr>
          <w:trHeight w:val="157" w:hRule="atLeast"/>
        </w:trPr>
        <w:tc>
          <w:tcPr>
            <w:tcW w:w="1162" w:type="dxa"/>
            <w:tcBorders>
              <w:top w:val="nil"/>
              <w:left w:val="single" w:sz="4" w:space="0" w:color="000000"/>
            </w:tcBorders>
          </w:tcPr>
          <w:p>
            <w:pPr>
              <w:pStyle w:val="TableParagraph"/>
              <w:spacing w:line="127" w:lineRule="exact" w:before="10"/>
              <w:ind w:left="26"/>
              <w:rPr>
                <w:rFonts w:ascii="Arial"/>
                <w:sz w:val="13"/>
              </w:rPr>
            </w:pPr>
            <w:r>
              <w:rPr>
                <w:rFonts w:ascii="Arial"/>
                <w:w w:val="105"/>
                <w:sz w:val="13"/>
              </w:rPr>
              <w:t>Biodiesel (bbl)</w:t>
            </w:r>
          </w:p>
        </w:tc>
        <w:tc>
          <w:tcPr>
            <w:tcW w:w="977" w:type="dxa"/>
            <w:tcBorders>
              <w:top w:val="nil"/>
              <w:right w:val="single" w:sz="4" w:space="0" w:color="000000"/>
            </w:tcBorders>
          </w:tcPr>
          <w:p>
            <w:pPr>
              <w:pStyle w:val="TableParagraph"/>
              <w:rPr>
                <w:rFonts w:ascii="Times New Roman"/>
                <w:sz w:val="10"/>
              </w:rPr>
            </w:pPr>
          </w:p>
        </w:tc>
        <w:tc>
          <w:tcPr>
            <w:tcW w:w="974" w:type="dxa"/>
            <w:tcBorders>
              <w:top w:val="nil"/>
              <w:left w:val="single" w:sz="4" w:space="0" w:color="000000"/>
              <w:right w:val="single" w:sz="6" w:space="0" w:color="000000"/>
            </w:tcBorders>
          </w:tcPr>
          <w:p>
            <w:pPr>
              <w:pStyle w:val="TableParagraph"/>
              <w:spacing w:line="127" w:lineRule="exact" w:before="10"/>
              <w:ind w:right="60"/>
              <w:jc w:val="right"/>
              <w:rPr>
                <w:rFonts w:ascii="Arial"/>
                <w:sz w:val="13"/>
              </w:rPr>
            </w:pPr>
            <w:r>
              <w:rPr>
                <w:rFonts w:ascii="Arial"/>
                <w:w w:val="105"/>
                <w:sz w:val="13"/>
              </w:rPr>
              <w:t>1.291.194</w:t>
            </w:r>
          </w:p>
        </w:tc>
        <w:tc>
          <w:tcPr>
            <w:tcW w:w="973" w:type="dxa"/>
            <w:tcBorders>
              <w:top w:val="nil"/>
              <w:left w:val="single" w:sz="6" w:space="0" w:color="000000"/>
              <w:right w:val="single" w:sz="6" w:space="0" w:color="000000"/>
            </w:tcBorders>
          </w:tcPr>
          <w:p>
            <w:pPr>
              <w:pStyle w:val="TableParagraph"/>
              <w:spacing w:line="127" w:lineRule="exact" w:before="10"/>
              <w:ind w:right="59"/>
              <w:jc w:val="right"/>
              <w:rPr>
                <w:rFonts w:ascii="Arial"/>
                <w:sz w:val="13"/>
              </w:rPr>
            </w:pPr>
            <w:r>
              <w:rPr>
                <w:rFonts w:ascii="Arial"/>
                <w:w w:val="105"/>
                <w:sz w:val="13"/>
              </w:rPr>
              <w:t>912.788</w:t>
            </w:r>
          </w:p>
        </w:tc>
        <w:tc>
          <w:tcPr>
            <w:tcW w:w="975" w:type="dxa"/>
            <w:tcBorders>
              <w:top w:val="nil"/>
              <w:left w:val="single" w:sz="6" w:space="0" w:color="000000"/>
              <w:right w:val="single" w:sz="6" w:space="0" w:color="000000"/>
            </w:tcBorders>
          </w:tcPr>
          <w:p>
            <w:pPr>
              <w:pStyle w:val="TableParagraph"/>
              <w:spacing w:line="127" w:lineRule="exact" w:before="10"/>
              <w:ind w:left="415"/>
              <w:rPr>
                <w:rFonts w:ascii="Arial"/>
                <w:sz w:val="13"/>
              </w:rPr>
            </w:pPr>
            <w:r>
              <w:rPr>
                <w:rFonts w:ascii="Arial"/>
                <w:w w:val="105"/>
                <w:sz w:val="13"/>
              </w:rPr>
              <w:t>367.000</w:t>
            </w:r>
          </w:p>
        </w:tc>
        <w:tc>
          <w:tcPr>
            <w:tcW w:w="973" w:type="dxa"/>
            <w:tcBorders>
              <w:top w:val="nil"/>
              <w:left w:val="single" w:sz="6" w:space="0" w:color="000000"/>
              <w:right w:val="thinThickMediumGap" w:sz="2" w:space="0" w:color="000000"/>
            </w:tcBorders>
          </w:tcPr>
          <w:p>
            <w:pPr>
              <w:pStyle w:val="TableParagraph"/>
              <w:spacing w:line="127" w:lineRule="exact" w:before="10"/>
              <w:ind w:left="422"/>
              <w:rPr>
                <w:rFonts w:ascii="Arial"/>
                <w:sz w:val="13"/>
              </w:rPr>
            </w:pPr>
            <w:r>
              <w:rPr>
                <w:rFonts w:ascii="Arial"/>
                <w:w w:val="105"/>
                <w:sz w:val="13"/>
              </w:rPr>
              <w:t>545.788</w:t>
            </w:r>
          </w:p>
        </w:tc>
        <w:tc>
          <w:tcPr>
            <w:tcW w:w="1133" w:type="dxa"/>
            <w:tcBorders>
              <w:top w:val="nil"/>
              <w:left w:val="thickThinMediumGap" w:sz="2" w:space="0" w:color="000000"/>
              <w:right w:val="single" w:sz="6" w:space="0" w:color="000000"/>
            </w:tcBorders>
          </w:tcPr>
          <w:p>
            <w:pPr>
              <w:pStyle w:val="TableParagraph"/>
              <w:spacing w:line="127" w:lineRule="exact" w:before="10"/>
              <w:ind w:right="61"/>
              <w:jc w:val="right"/>
              <w:rPr>
                <w:rFonts w:ascii="Arial"/>
                <w:sz w:val="13"/>
              </w:rPr>
            </w:pPr>
            <w:r>
              <w:rPr>
                <w:rFonts w:ascii="Arial"/>
                <w:w w:val="105"/>
                <w:sz w:val="13"/>
              </w:rPr>
              <w:t>3.012.786</w:t>
            </w:r>
          </w:p>
        </w:tc>
        <w:tc>
          <w:tcPr>
            <w:tcW w:w="975" w:type="dxa"/>
            <w:tcBorders>
              <w:top w:val="nil"/>
              <w:left w:val="single" w:sz="6" w:space="0" w:color="000000"/>
              <w:right w:val="single" w:sz="6" w:space="0" w:color="000000"/>
            </w:tcBorders>
          </w:tcPr>
          <w:p>
            <w:pPr>
              <w:pStyle w:val="TableParagraph"/>
              <w:spacing w:line="127" w:lineRule="exact" w:before="10"/>
              <w:ind w:left="414"/>
              <w:rPr>
                <w:rFonts w:ascii="Arial"/>
                <w:sz w:val="13"/>
              </w:rPr>
            </w:pPr>
            <w:r>
              <w:rPr>
                <w:rFonts w:ascii="Arial"/>
                <w:w w:val="105"/>
                <w:sz w:val="13"/>
              </w:rPr>
              <w:t>520.000</w:t>
            </w:r>
          </w:p>
        </w:tc>
        <w:tc>
          <w:tcPr>
            <w:tcW w:w="970" w:type="dxa"/>
            <w:tcBorders>
              <w:top w:val="nil"/>
              <w:left w:val="single" w:sz="6" w:space="0" w:color="000000"/>
            </w:tcBorders>
          </w:tcPr>
          <w:p>
            <w:pPr>
              <w:pStyle w:val="TableParagraph"/>
              <w:spacing w:line="127" w:lineRule="exact" w:before="10"/>
              <w:ind w:left="307"/>
              <w:rPr>
                <w:rFonts w:ascii="Arial"/>
                <w:sz w:val="13"/>
              </w:rPr>
            </w:pPr>
            <w:r>
              <w:rPr>
                <w:rFonts w:ascii="Arial"/>
                <w:w w:val="105"/>
                <w:sz w:val="13"/>
              </w:rPr>
              <w:t>2.492.786</w:t>
            </w:r>
          </w:p>
        </w:tc>
      </w:tr>
    </w:tbl>
    <w:p>
      <w:pPr>
        <w:tabs>
          <w:tab w:pos="2166" w:val="left" w:leader="none"/>
        </w:tabs>
        <w:spacing w:before="0"/>
        <w:ind w:left="388" w:right="0" w:firstLine="0"/>
        <w:jc w:val="left"/>
        <w:rPr>
          <w:rFonts w:ascii="Arial"/>
          <w:i/>
          <w:sz w:val="13"/>
        </w:rPr>
      </w:pPr>
      <w:r>
        <w:rPr>
          <w:rFonts w:ascii="Arial"/>
          <w:i/>
          <w:spacing w:val="-3"/>
          <w:w w:val="105"/>
          <w:sz w:val="13"/>
        </w:rPr>
        <w:t>Ton.</w:t>
      </w:r>
      <w:r>
        <w:rPr>
          <w:rFonts w:ascii="Arial"/>
          <w:i/>
          <w:spacing w:val="3"/>
          <w:w w:val="105"/>
          <w:sz w:val="13"/>
        </w:rPr>
        <w:t> </w:t>
      </w:r>
      <w:r>
        <w:rPr>
          <w:rFonts w:ascii="Arial"/>
          <w:i/>
          <w:w w:val="105"/>
          <w:sz w:val="13"/>
        </w:rPr>
        <w:t>aceite/Ha</w:t>
        <w:tab/>
        <w:t>4,02</w:t>
      </w:r>
    </w:p>
    <w:p>
      <w:pPr>
        <w:tabs>
          <w:tab w:pos="2094" w:val="left" w:leader="none"/>
        </w:tabs>
        <w:spacing w:before="21"/>
        <w:ind w:left="388" w:right="0" w:firstLine="0"/>
        <w:jc w:val="left"/>
        <w:rPr>
          <w:rFonts w:ascii="Arial"/>
          <w:i/>
          <w:sz w:val="13"/>
        </w:rPr>
      </w:pPr>
      <w:r>
        <w:rPr>
          <w:rFonts w:ascii="Arial"/>
          <w:i/>
          <w:w w:val="105"/>
          <w:sz w:val="13"/>
        </w:rPr>
        <w:t>bbl/Ton</w:t>
        <w:tab/>
        <w:t>7,138</w:t>
      </w:r>
    </w:p>
    <w:p>
      <w:pPr>
        <w:spacing w:line="193" w:lineRule="exact" w:before="19"/>
        <w:ind w:left="219" w:right="0" w:firstLine="0"/>
        <w:jc w:val="both"/>
        <w:rPr>
          <w:b/>
          <w:sz w:val="16"/>
        </w:rPr>
      </w:pPr>
      <w:r>
        <w:rPr>
          <w:sz w:val="16"/>
        </w:rPr>
        <w:t>Fuente: </w:t>
      </w:r>
      <w:r>
        <w:rPr>
          <w:b/>
          <w:sz w:val="16"/>
        </w:rPr>
        <w:t>DIAGNÓSTICO Y DEFINICIÓN DE LÍNEAS ESTRATÉGICAS DEL SUBSECTOR FUENTES DE ENERGÍA NUEVAS Y</w:t>
      </w:r>
    </w:p>
    <w:p>
      <w:pPr>
        <w:spacing w:line="193" w:lineRule="exact" w:before="0"/>
        <w:ind w:left="219" w:right="0" w:firstLine="0"/>
        <w:jc w:val="both"/>
        <w:rPr>
          <w:sz w:val="16"/>
        </w:rPr>
      </w:pPr>
      <w:r>
        <w:rPr>
          <w:b/>
          <w:sz w:val="16"/>
        </w:rPr>
        <w:t>RENOVABLES (FER), </w:t>
      </w:r>
      <w:r>
        <w:rPr>
          <w:sz w:val="16"/>
        </w:rPr>
        <w:t>Humberto Rodríguez M, Enero de 2008. Cálculos propios del consultor.</w:t>
      </w:r>
    </w:p>
    <w:p>
      <w:pPr>
        <w:pStyle w:val="BodyText"/>
        <w:spacing w:before="5"/>
      </w:pPr>
    </w:p>
    <w:p>
      <w:pPr>
        <w:pStyle w:val="Heading3"/>
        <w:spacing w:before="1"/>
        <w:ind w:left="1299"/>
        <w:rPr>
          <w:i/>
        </w:rPr>
      </w:pPr>
      <w:bookmarkStart w:name="_TOC_250088" w:id="11"/>
      <w:bookmarkEnd w:id="11"/>
      <w:r>
        <w:rPr>
          <w:i/>
          <w:w w:val="110"/>
        </w:rPr>
        <w:t>Estrategia de mercado de los biocombustibles</w:t>
      </w:r>
    </w:p>
    <w:p>
      <w:pPr>
        <w:pStyle w:val="BodyText"/>
        <w:spacing w:before="5"/>
        <w:rPr>
          <w:rFonts w:ascii="Times New Roman"/>
          <w:b/>
          <w:i/>
          <w:sz w:val="26"/>
        </w:rPr>
      </w:pPr>
    </w:p>
    <w:p>
      <w:pPr>
        <w:pStyle w:val="BodyText"/>
        <w:ind w:left="219" w:right="213"/>
        <w:jc w:val="both"/>
      </w:pPr>
      <w:r>
        <w:rPr/>
        <w:t>El PEN establece como metas alcanzables y deseables las establecidas de los escenarios altos, tanto para el etanol como para el biodiesel, en la medida que no solo se reemplaza derivados de petróleo en el consumo interno, sino que también se logra la exportación de excedentes. Es claro que el mayor incentivo para desarrollar los cultivos para iniciar el programa es la garantía de un mercado seguro para los productos a un precio atractivo. En el mediano plazo deberá desarrollarse un mercado competitivo, de tal forma que los biocombustibles aporten también a una reducción de los precios de la energía.</w:t>
      </w:r>
    </w:p>
    <w:p>
      <w:pPr>
        <w:pStyle w:val="BodyText"/>
        <w:spacing w:before="1"/>
      </w:pPr>
    </w:p>
    <w:p>
      <w:pPr>
        <w:pStyle w:val="BodyText"/>
        <w:ind w:left="219"/>
        <w:jc w:val="both"/>
      </w:pPr>
      <w:r>
        <w:rPr/>
        <w:t>Para eso el PEN propone tres acciones bien definidas:</w:t>
      </w:r>
    </w:p>
    <w:p>
      <w:pPr>
        <w:pStyle w:val="BodyText"/>
        <w:spacing w:before="4"/>
        <w:rPr>
          <w:sz w:val="22"/>
        </w:rPr>
      </w:pPr>
    </w:p>
    <w:p>
      <w:pPr>
        <w:pStyle w:val="ListParagraph"/>
        <w:numPr>
          <w:ilvl w:val="2"/>
          <w:numId w:val="14"/>
        </w:numPr>
        <w:tabs>
          <w:tab w:pos="939" w:val="left" w:leader="none"/>
          <w:tab w:pos="940" w:val="left" w:leader="none"/>
        </w:tabs>
        <w:spacing w:line="240" w:lineRule="auto" w:before="0" w:after="0"/>
        <w:ind w:left="940" w:right="0" w:hanging="361"/>
        <w:jc w:val="left"/>
        <w:rPr>
          <w:sz w:val="23"/>
        </w:rPr>
      </w:pPr>
      <w:r>
        <w:rPr>
          <w:i/>
          <w:sz w:val="24"/>
          <w:u w:val="single"/>
        </w:rPr>
        <w:t>En el corto plazo</w:t>
      </w:r>
      <w:r>
        <w:rPr>
          <w:sz w:val="23"/>
        </w:rPr>
        <w:t>. Darle inicio al programa, para los cual se</w:t>
      </w:r>
      <w:r>
        <w:rPr>
          <w:spacing w:val="-39"/>
          <w:sz w:val="23"/>
        </w:rPr>
        <w:t> </w:t>
      </w:r>
      <w:r>
        <w:rPr>
          <w:sz w:val="23"/>
        </w:rPr>
        <w:t>requiere:</w:t>
      </w:r>
    </w:p>
    <w:p>
      <w:pPr>
        <w:pStyle w:val="BodyText"/>
        <w:spacing w:before="8"/>
        <w:rPr>
          <w:sz w:val="22"/>
        </w:rPr>
      </w:pPr>
    </w:p>
    <w:p>
      <w:pPr>
        <w:pStyle w:val="ListParagraph"/>
        <w:numPr>
          <w:ilvl w:val="0"/>
          <w:numId w:val="15"/>
        </w:numPr>
        <w:tabs>
          <w:tab w:pos="1288" w:val="left" w:leader="none"/>
        </w:tabs>
        <w:spacing w:line="240" w:lineRule="auto" w:before="0" w:after="0"/>
        <w:ind w:left="1287" w:right="218" w:hanging="360"/>
        <w:jc w:val="both"/>
        <w:rPr>
          <w:sz w:val="23"/>
        </w:rPr>
      </w:pPr>
      <w:r>
        <w:rPr>
          <w:sz w:val="23"/>
        </w:rPr>
        <w:t>Establecer la mezcla obligatoria de 10% de etanol y 5% de biodiesel para crear la demanda mínima que inicie el programa de</w:t>
      </w:r>
      <w:r>
        <w:rPr>
          <w:spacing w:val="-11"/>
          <w:sz w:val="23"/>
        </w:rPr>
        <w:t> </w:t>
      </w:r>
      <w:r>
        <w:rPr>
          <w:sz w:val="23"/>
        </w:rPr>
        <w:t>biocombustibles.</w:t>
      </w:r>
    </w:p>
    <w:p>
      <w:pPr>
        <w:pStyle w:val="ListParagraph"/>
        <w:numPr>
          <w:ilvl w:val="0"/>
          <w:numId w:val="15"/>
        </w:numPr>
        <w:tabs>
          <w:tab w:pos="1288" w:val="left" w:leader="none"/>
        </w:tabs>
        <w:spacing w:line="240" w:lineRule="auto" w:before="0" w:after="0"/>
        <w:ind w:left="1287" w:right="215" w:hanging="360"/>
        <w:jc w:val="both"/>
        <w:rPr>
          <w:sz w:val="23"/>
        </w:rPr>
      </w:pPr>
      <w:r>
        <w:rPr>
          <w:sz w:val="23"/>
        </w:rPr>
        <w:t>Establecer un precio regulado para los biocombustibles que garantice una rentabilidad mínima al productor y mantenga la competitividad con los combustibles derivados de</w:t>
      </w:r>
      <w:r>
        <w:rPr>
          <w:spacing w:val="-2"/>
          <w:sz w:val="23"/>
        </w:rPr>
        <w:t> </w:t>
      </w:r>
      <w:r>
        <w:rPr>
          <w:sz w:val="23"/>
        </w:rPr>
        <w:t>petróleo.</w:t>
      </w:r>
    </w:p>
    <w:p>
      <w:pPr>
        <w:pStyle w:val="BodyText"/>
        <w:spacing w:before="7"/>
        <w:rPr>
          <w:sz w:val="22"/>
        </w:rPr>
      </w:pPr>
    </w:p>
    <w:p>
      <w:pPr>
        <w:pStyle w:val="ListParagraph"/>
        <w:numPr>
          <w:ilvl w:val="2"/>
          <w:numId w:val="14"/>
        </w:numPr>
        <w:tabs>
          <w:tab w:pos="940" w:val="left" w:leader="none"/>
        </w:tabs>
        <w:spacing w:line="237" w:lineRule="auto" w:before="0" w:after="0"/>
        <w:ind w:left="939" w:right="215" w:hanging="360"/>
        <w:jc w:val="both"/>
        <w:rPr>
          <w:sz w:val="23"/>
        </w:rPr>
      </w:pPr>
      <w:r>
        <w:rPr>
          <w:i/>
          <w:sz w:val="24"/>
          <w:u w:val="single"/>
        </w:rPr>
        <w:t>En el mediano plazo</w:t>
      </w:r>
      <w:r>
        <w:rPr>
          <w:sz w:val="23"/>
        </w:rPr>
        <w:t>. Desarrollar un mercado autónomo de los biocombustibles que pueda mezclarse en cualquier proporción con los derivados de petróleo, para lo cual se requiere:</w:t>
      </w:r>
    </w:p>
    <w:p>
      <w:pPr>
        <w:pStyle w:val="BodyText"/>
        <w:spacing w:before="1"/>
      </w:pPr>
    </w:p>
    <w:p>
      <w:pPr>
        <w:pStyle w:val="ListParagraph"/>
        <w:numPr>
          <w:ilvl w:val="0"/>
          <w:numId w:val="15"/>
        </w:numPr>
        <w:tabs>
          <w:tab w:pos="1288" w:val="left" w:leader="none"/>
        </w:tabs>
        <w:spacing w:line="240" w:lineRule="auto" w:before="0" w:after="0"/>
        <w:ind w:left="1287" w:right="218" w:hanging="360"/>
        <w:jc w:val="both"/>
        <w:rPr>
          <w:sz w:val="23"/>
        </w:rPr>
      </w:pPr>
      <w:r>
        <w:rPr>
          <w:sz w:val="23"/>
        </w:rPr>
        <w:t>Incentivar la importación de vehículos híbridos con medidas arancelarias y tributarias.</w:t>
      </w:r>
    </w:p>
    <w:p>
      <w:pPr>
        <w:pStyle w:val="ListParagraph"/>
        <w:numPr>
          <w:ilvl w:val="0"/>
          <w:numId w:val="15"/>
        </w:numPr>
        <w:tabs>
          <w:tab w:pos="1288" w:val="left" w:leader="none"/>
        </w:tabs>
        <w:spacing w:line="240" w:lineRule="auto" w:before="0" w:after="0"/>
        <w:ind w:left="1287" w:right="215" w:hanging="360"/>
        <w:jc w:val="both"/>
        <w:rPr>
          <w:sz w:val="23"/>
        </w:rPr>
      </w:pPr>
      <w:r>
        <w:rPr>
          <w:sz w:val="23"/>
        </w:rPr>
        <w:t>Desarrollar la distribución de biocombustibles paralela a la de los derivados de petróleo, de tal forma que el consumidor pueda seleccionar la mezcla que</w:t>
      </w:r>
      <w:r>
        <w:rPr>
          <w:spacing w:val="-24"/>
          <w:sz w:val="23"/>
        </w:rPr>
        <w:t> </w:t>
      </w:r>
      <w:r>
        <w:rPr>
          <w:sz w:val="23"/>
        </w:rPr>
        <w:t>desee.</w:t>
      </w:r>
    </w:p>
    <w:p>
      <w:pPr>
        <w:spacing w:after="0" w:line="240" w:lineRule="auto"/>
        <w:jc w:val="both"/>
        <w:rPr>
          <w:sz w:val="23"/>
        </w:rPr>
        <w:sectPr>
          <w:pgSz w:w="12240" w:h="15840"/>
          <w:pgMar w:header="718" w:footer="954" w:top="1500" w:bottom="1140" w:left="1220" w:right="1220"/>
        </w:sectPr>
      </w:pPr>
    </w:p>
    <w:p>
      <w:pPr>
        <w:pStyle w:val="ListParagraph"/>
        <w:numPr>
          <w:ilvl w:val="2"/>
          <w:numId w:val="14"/>
        </w:numPr>
        <w:tabs>
          <w:tab w:pos="927" w:val="left" w:leader="none"/>
          <w:tab w:pos="928" w:val="left" w:leader="none"/>
        </w:tabs>
        <w:spacing w:line="240" w:lineRule="auto" w:before="105" w:after="0"/>
        <w:ind w:left="928" w:right="0" w:hanging="361"/>
        <w:jc w:val="left"/>
        <w:rPr>
          <w:sz w:val="23"/>
        </w:rPr>
      </w:pPr>
      <w:r>
        <w:rPr>
          <w:i/>
          <w:sz w:val="24"/>
          <w:u w:val="single"/>
        </w:rPr>
        <w:t>En el largo plazo.</w:t>
      </w:r>
      <w:r>
        <w:rPr>
          <w:i/>
          <w:sz w:val="24"/>
        </w:rPr>
        <w:t> </w:t>
      </w:r>
      <w:r>
        <w:rPr>
          <w:sz w:val="23"/>
        </w:rPr>
        <w:t>Establecer la libertad de precios para los</w:t>
      </w:r>
      <w:r>
        <w:rPr>
          <w:spacing w:val="-51"/>
          <w:sz w:val="23"/>
        </w:rPr>
        <w:t> </w:t>
      </w:r>
      <w:r>
        <w:rPr>
          <w:sz w:val="23"/>
        </w:rPr>
        <w:t>biocombustibles.</w:t>
      </w:r>
    </w:p>
    <w:p>
      <w:pPr>
        <w:pStyle w:val="BodyText"/>
        <w:rPr>
          <w:sz w:val="28"/>
        </w:rPr>
      </w:pPr>
    </w:p>
    <w:p>
      <w:pPr>
        <w:pStyle w:val="Heading5"/>
        <w:numPr>
          <w:ilvl w:val="2"/>
          <w:numId w:val="10"/>
        </w:numPr>
        <w:tabs>
          <w:tab w:pos="1299" w:val="left" w:leader="none"/>
          <w:tab w:pos="1300" w:val="left" w:leader="none"/>
        </w:tabs>
        <w:spacing w:line="240" w:lineRule="auto" w:before="239" w:after="0"/>
        <w:ind w:left="1299" w:right="0" w:hanging="1080"/>
        <w:jc w:val="left"/>
      </w:pPr>
      <w:bookmarkStart w:name="_TOC_250087" w:id="12"/>
      <w:r>
        <w:rPr/>
        <w:t>Escenarios para la energía eólica, solar y otras</w:t>
      </w:r>
      <w:r>
        <w:rPr>
          <w:spacing w:val="-8"/>
        </w:rPr>
        <w:t> </w:t>
      </w:r>
      <w:bookmarkEnd w:id="12"/>
      <w:r>
        <w:rPr/>
        <w:t>FER</w:t>
      </w:r>
    </w:p>
    <w:p>
      <w:pPr>
        <w:pStyle w:val="BodyText"/>
        <w:spacing w:before="9"/>
        <w:rPr>
          <w:rFonts w:ascii="Verdana"/>
          <w:b/>
          <w:sz w:val="22"/>
        </w:rPr>
      </w:pPr>
    </w:p>
    <w:p>
      <w:pPr>
        <w:pStyle w:val="BodyText"/>
        <w:ind w:left="220" w:right="214"/>
        <w:jc w:val="both"/>
      </w:pPr>
      <w:r>
        <w:rPr/>
        <w:t>Para la energía eólica, solar y otras FER el PEN considera dos escenarios, dentro de los cuales se desarrollará la estrategia de penetración. El escenario bajo considera un mínimo de penetración aceptable y el escenario alto requiere un esfuerzo mayor y un resultado más deseable.</w:t>
      </w:r>
    </w:p>
    <w:p>
      <w:pPr>
        <w:pStyle w:val="BodyText"/>
        <w:spacing w:before="1"/>
        <w:rPr>
          <w:sz w:val="15"/>
        </w:rPr>
      </w:pPr>
    </w:p>
    <w:p>
      <w:pPr>
        <w:pStyle w:val="Heading3"/>
        <w:spacing w:before="104"/>
        <w:ind w:left="1300"/>
        <w:rPr>
          <w:i/>
        </w:rPr>
      </w:pPr>
      <w:bookmarkStart w:name="_TOC_250086" w:id="13"/>
      <w:bookmarkEnd w:id="13"/>
      <w:r>
        <w:rPr>
          <w:i/>
          <w:w w:val="105"/>
        </w:rPr>
        <w:t>Escenario Bajo</w:t>
      </w:r>
    </w:p>
    <w:p>
      <w:pPr>
        <w:pStyle w:val="BodyText"/>
        <w:spacing w:before="10"/>
        <w:rPr>
          <w:rFonts w:ascii="Times New Roman"/>
          <w:b/>
          <w:i/>
        </w:rPr>
      </w:pPr>
    </w:p>
    <w:p>
      <w:pPr>
        <w:pStyle w:val="BodyText"/>
        <w:spacing w:before="1"/>
        <w:ind w:left="220" w:right="214"/>
        <w:jc w:val="both"/>
      </w:pPr>
      <w:r>
        <w:rPr/>
        <w:t>La máxima penetración de las FER en el sistema de generación eléctrica en el país se puede dar entre 2013 y 2015, estabilizándose hacia 2020. Se alcanzaría un desplazamiento cercano al 17%. Este desplazamiento de energía eléctrica se ha calculado bajo los siguientes</w:t>
      </w:r>
      <w:r>
        <w:rPr>
          <w:spacing w:val="-1"/>
        </w:rPr>
        <w:t> </w:t>
      </w:r>
      <w:r>
        <w:rPr/>
        <w:t>supuestos:</w:t>
      </w:r>
    </w:p>
    <w:p>
      <w:pPr>
        <w:pStyle w:val="BodyText"/>
        <w:spacing w:before="5"/>
        <w:rPr>
          <w:sz w:val="22"/>
        </w:rPr>
      </w:pPr>
    </w:p>
    <w:p>
      <w:pPr>
        <w:pStyle w:val="Heading8"/>
        <w:numPr>
          <w:ilvl w:val="3"/>
          <w:numId w:val="10"/>
        </w:numPr>
        <w:tabs>
          <w:tab w:pos="940" w:val="left" w:leader="none"/>
        </w:tabs>
        <w:spacing w:line="288" w:lineRule="exact" w:before="1" w:after="0"/>
        <w:ind w:left="940" w:right="0" w:hanging="361"/>
        <w:jc w:val="both"/>
        <w:rPr>
          <w:rFonts w:ascii="Symbol" w:hAnsi="Symbol"/>
          <w:sz w:val="23"/>
          <w:u w:val="none"/>
        </w:rPr>
      </w:pPr>
      <w:r>
        <w:rPr>
          <w:u w:val="single"/>
        </w:rPr>
        <w:t>Energía</w:t>
      </w:r>
      <w:r>
        <w:rPr>
          <w:spacing w:val="-5"/>
          <w:u w:val="single"/>
        </w:rPr>
        <w:t> </w:t>
      </w:r>
      <w:r>
        <w:rPr>
          <w:u w:val="single"/>
        </w:rPr>
        <w:t>Eólica</w:t>
      </w:r>
    </w:p>
    <w:p>
      <w:pPr>
        <w:pStyle w:val="BodyText"/>
        <w:ind w:left="927" w:right="216"/>
        <w:jc w:val="both"/>
      </w:pPr>
      <w:r>
        <w:rPr/>
        <w:t>Para estimar la oferta de energía eléctrica de parques eólicos, se ha tomado la información disponible de posibles parques a desarrollar hasta el año 2013. La energía eólica entraría con una capacidad de 100 MW y una generación de 332.9 GWh y se incrementaría hasta el año 2013 alcanzando una capacidad total de 560 MW y una generación 1793 GWh. A partir de 2014, se supone un incremento anual de 50 MW con un factor de capacidad de 34%, para un incremento anual de la generación de 148.9 GWh.</w:t>
      </w:r>
    </w:p>
    <w:p>
      <w:pPr>
        <w:pStyle w:val="BodyText"/>
        <w:spacing w:before="1"/>
        <w:rPr>
          <w:sz w:val="22"/>
        </w:rPr>
      </w:pPr>
    </w:p>
    <w:p>
      <w:pPr>
        <w:pStyle w:val="Heading8"/>
        <w:numPr>
          <w:ilvl w:val="3"/>
          <w:numId w:val="10"/>
        </w:numPr>
        <w:tabs>
          <w:tab w:pos="940" w:val="left" w:leader="none"/>
        </w:tabs>
        <w:spacing w:line="288" w:lineRule="exact" w:before="0" w:after="0"/>
        <w:ind w:left="940" w:right="0" w:hanging="361"/>
        <w:jc w:val="both"/>
        <w:rPr>
          <w:rFonts w:ascii="Symbol" w:hAnsi="Symbol"/>
          <w:sz w:val="23"/>
          <w:u w:val="none"/>
        </w:rPr>
      </w:pPr>
      <w:r>
        <w:rPr>
          <w:u w:val="single"/>
        </w:rPr>
        <w:t>Cogeneración en plantas</w:t>
      </w:r>
      <w:r>
        <w:rPr>
          <w:spacing w:val="-13"/>
          <w:u w:val="single"/>
        </w:rPr>
        <w:t> </w:t>
      </w:r>
      <w:r>
        <w:rPr>
          <w:u w:val="single"/>
        </w:rPr>
        <w:t>etanol</w:t>
      </w:r>
    </w:p>
    <w:p>
      <w:pPr>
        <w:pStyle w:val="BodyText"/>
        <w:ind w:left="927" w:right="216"/>
        <w:jc w:val="both"/>
      </w:pPr>
      <w:r>
        <w:rPr/>
        <w:t>Esta generación de electricidad está relacionada con el incremento de la producción de caña de azúcar para la producción de alcohol en el escenario bajo de etanol. A pesar de que la producción de caña de azúcar para este escenario debe alcanzar un máximo de siembra de 129,935 ha para el 2012, se ha supuesto que el desarrollo es gradual a partir del 2009 y que las destilerías de alcohol generarían 183 GWh/año de excedentes inyectables a la red del SENI. Para estimar esta cifra, se ha partido de un excedente de 92 KWh/tcaña procesada en las destilerías y un rendimiento de 38.35 t/ha de caña de acuerdo al promedio de los últimos años.</w:t>
      </w:r>
    </w:p>
    <w:p>
      <w:pPr>
        <w:pStyle w:val="BodyText"/>
        <w:spacing w:before="2"/>
        <w:rPr>
          <w:sz w:val="22"/>
        </w:rPr>
      </w:pPr>
    </w:p>
    <w:p>
      <w:pPr>
        <w:pStyle w:val="Heading8"/>
        <w:numPr>
          <w:ilvl w:val="3"/>
          <w:numId w:val="10"/>
        </w:numPr>
        <w:tabs>
          <w:tab w:pos="940" w:val="left" w:leader="none"/>
        </w:tabs>
        <w:spacing w:line="288" w:lineRule="exact" w:before="0" w:after="0"/>
        <w:ind w:left="940" w:right="0" w:hanging="361"/>
        <w:jc w:val="both"/>
        <w:rPr>
          <w:rFonts w:ascii="Symbol" w:hAnsi="Symbol"/>
          <w:sz w:val="23"/>
          <w:u w:val="none"/>
        </w:rPr>
      </w:pPr>
      <w:r>
        <w:rPr>
          <w:u w:val="single"/>
        </w:rPr>
        <w:t>Cogeneración en los ingenios</w:t>
      </w:r>
      <w:r>
        <w:rPr>
          <w:spacing w:val="-21"/>
          <w:u w:val="single"/>
        </w:rPr>
        <w:t> </w:t>
      </w:r>
      <w:r>
        <w:rPr>
          <w:u w:val="single"/>
        </w:rPr>
        <w:t>azucareros</w:t>
      </w:r>
    </w:p>
    <w:p>
      <w:pPr>
        <w:pStyle w:val="BodyText"/>
        <w:ind w:left="927" w:right="215"/>
        <w:jc w:val="both"/>
      </w:pPr>
      <w:r>
        <w:rPr/>
        <w:t>Los ingenios azucareros cogeneran para su consumo interno y no inyectan excedentes al SENI. Para que estos ingenios si cogeneren con destino a la red, habría que desarrollar un programa específico que incluyera mejoras técnicas en los ingenios (mayores presiones de trabajo en las calderas, turbinas modernas de vapor e implementar medidas de uso racional y eficiente de vapor y energía). Con calderas de alta presión la cogeneración inyectada a la red podría alcanzar 265</w:t>
      </w:r>
      <w:r>
        <w:rPr>
          <w:spacing w:val="-18"/>
        </w:rPr>
        <w:t> </w:t>
      </w:r>
      <w:r>
        <w:rPr/>
        <w:t>GWh/año.</w:t>
      </w:r>
    </w:p>
    <w:p>
      <w:pPr>
        <w:spacing w:after="0"/>
        <w:jc w:val="both"/>
        <w:sectPr>
          <w:pgSz w:w="12240" w:h="15840"/>
          <w:pgMar w:header="718" w:footer="954" w:top="1500" w:bottom="1140" w:left="1220" w:right="1220"/>
        </w:sectPr>
      </w:pPr>
    </w:p>
    <w:p>
      <w:pPr>
        <w:pStyle w:val="Heading8"/>
        <w:numPr>
          <w:ilvl w:val="3"/>
          <w:numId w:val="10"/>
        </w:numPr>
        <w:tabs>
          <w:tab w:pos="940" w:val="left" w:leader="none"/>
        </w:tabs>
        <w:spacing w:line="290" w:lineRule="exact" w:before="105" w:after="0"/>
        <w:ind w:left="940" w:right="0" w:hanging="361"/>
        <w:jc w:val="both"/>
        <w:rPr>
          <w:rFonts w:ascii="Symbol" w:hAnsi="Symbol"/>
          <w:sz w:val="23"/>
          <w:u w:val="none"/>
        </w:rPr>
      </w:pPr>
      <w:r>
        <w:rPr>
          <w:u w:val="single"/>
        </w:rPr>
        <w:t>Generación con desechos</w:t>
      </w:r>
      <w:r>
        <w:rPr>
          <w:spacing w:val="-13"/>
          <w:u w:val="single"/>
        </w:rPr>
        <w:t> </w:t>
      </w:r>
      <w:r>
        <w:rPr>
          <w:u w:val="single"/>
        </w:rPr>
        <w:t>biomasa</w:t>
      </w:r>
    </w:p>
    <w:p>
      <w:pPr>
        <w:pStyle w:val="BodyText"/>
        <w:ind w:left="927" w:right="215"/>
        <w:jc w:val="both"/>
      </w:pPr>
      <w:r>
        <w:rPr/>
        <w:t>En la actualidad se encuentran en la SIE registrados 4 proyectos que emplean desechos orgánicos para la generación de electricidad. Suponiendo que estos proyectos entran en operación a partir de 2010, se adicionarían al 2013 en total 100 MW y una generación de 350 GWh/año para este mismo año.</w:t>
      </w:r>
    </w:p>
    <w:p>
      <w:pPr>
        <w:pStyle w:val="BodyText"/>
        <w:spacing w:before="2"/>
        <w:rPr>
          <w:sz w:val="22"/>
        </w:rPr>
      </w:pPr>
    </w:p>
    <w:p>
      <w:pPr>
        <w:pStyle w:val="Heading8"/>
        <w:numPr>
          <w:ilvl w:val="3"/>
          <w:numId w:val="10"/>
        </w:numPr>
        <w:tabs>
          <w:tab w:pos="940" w:val="left" w:leader="none"/>
        </w:tabs>
        <w:spacing w:line="288" w:lineRule="exact" w:before="1" w:after="0"/>
        <w:ind w:left="940" w:right="0" w:hanging="361"/>
        <w:jc w:val="both"/>
        <w:rPr>
          <w:rFonts w:ascii="Symbol" w:hAnsi="Symbol"/>
          <w:sz w:val="23"/>
          <w:u w:val="none"/>
        </w:rPr>
      </w:pPr>
      <w:r>
        <w:rPr>
          <w:u w:val="single"/>
        </w:rPr>
        <w:t>Calentadores</w:t>
      </w:r>
      <w:r>
        <w:rPr>
          <w:spacing w:val="-4"/>
          <w:u w:val="single"/>
        </w:rPr>
        <w:t> </w:t>
      </w:r>
      <w:r>
        <w:rPr>
          <w:u w:val="single"/>
        </w:rPr>
        <w:t>solares</w:t>
      </w:r>
    </w:p>
    <w:p>
      <w:pPr>
        <w:pStyle w:val="BodyText"/>
        <w:ind w:left="928" w:right="215" w:hanging="1"/>
        <w:jc w:val="both"/>
      </w:pPr>
      <w:r>
        <w:rPr/>
        <w:t>Según el PROFER </w:t>
      </w:r>
      <w:r>
        <w:rPr>
          <w:vertAlign w:val="superscript"/>
        </w:rPr>
        <w:t>12</w:t>
      </w:r>
      <w:r>
        <w:rPr>
          <w:vertAlign w:val="baseline"/>
        </w:rPr>
        <w:t> , al año 2006 había instalados 15,000 calentadores solares. Habiendo considerado viable la introducción de 9,000 calentadores solares /año, se podrían evitar 14.8 GWh/año de electricidad.</w:t>
      </w:r>
    </w:p>
    <w:p>
      <w:pPr>
        <w:pStyle w:val="BodyText"/>
        <w:spacing w:before="2"/>
        <w:rPr>
          <w:sz w:val="22"/>
        </w:rPr>
      </w:pPr>
    </w:p>
    <w:p>
      <w:pPr>
        <w:pStyle w:val="Heading8"/>
        <w:numPr>
          <w:ilvl w:val="3"/>
          <w:numId w:val="10"/>
        </w:numPr>
        <w:tabs>
          <w:tab w:pos="940" w:val="left" w:leader="none"/>
        </w:tabs>
        <w:spacing w:line="288" w:lineRule="exact" w:before="1" w:after="0"/>
        <w:ind w:left="940" w:right="0" w:hanging="360"/>
        <w:jc w:val="both"/>
        <w:rPr>
          <w:rFonts w:ascii="Symbol" w:hAnsi="Symbol"/>
          <w:sz w:val="23"/>
          <w:u w:val="none"/>
        </w:rPr>
      </w:pPr>
      <w:r>
        <w:rPr>
          <w:u w:val="single"/>
        </w:rPr>
        <w:t>Cogeneración con cascarilla de</w:t>
      </w:r>
      <w:r>
        <w:rPr>
          <w:spacing w:val="-19"/>
          <w:u w:val="single"/>
        </w:rPr>
        <w:t> </w:t>
      </w:r>
      <w:r>
        <w:rPr>
          <w:u w:val="single"/>
        </w:rPr>
        <w:t>arroz</w:t>
      </w:r>
    </w:p>
    <w:p>
      <w:pPr>
        <w:pStyle w:val="BodyText"/>
        <w:ind w:left="927" w:right="214"/>
        <w:jc w:val="both"/>
      </w:pPr>
      <w:r>
        <w:rPr/>
        <w:t>Los molinos de arroz no cogeneran en la actualidad y emplean la cascarilla de arroz solamente como combustible para los secadores. El escenario bajo asume que para el año 2010 se empiece a implementar este tipo de cogeneración, alcanzando para el 2013 10 MW instalados y generando 50 GWh/año y para el 2020 existiría una potencia instalada de 17.5 MW y una generación de 87.5</w:t>
      </w:r>
      <w:r>
        <w:rPr>
          <w:spacing w:val="-6"/>
        </w:rPr>
        <w:t> </w:t>
      </w:r>
      <w:r>
        <w:rPr/>
        <w:t>GWh/año.</w:t>
      </w:r>
    </w:p>
    <w:p>
      <w:pPr>
        <w:pStyle w:val="BodyText"/>
        <w:spacing w:before="1"/>
        <w:rPr>
          <w:sz w:val="22"/>
        </w:rPr>
      </w:pPr>
    </w:p>
    <w:p>
      <w:pPr>
        <w:pStyle w:val="Heading8"/>
        <w:numPr>
          <w:ilvl w:val="3"/>
          <w:numId w:val="10"/>
        </w:numPr>
        <w:tabs>
          <w:tab w:pos="940" w:val="left" w:leader="none"/>
        </w:tabs>
        <w:spacing w:line="288" w:lineRule="exact" w:before="1" w:after="0"/>
        <w:ind w:left="940" w:right="0" w:hanging="361"/>
        <w:jc w:val="both"/>
        <w:rPr>
          <w:rFonts w:ascii="Symbol" w:hAnsi="Symbol"/>
          <w:sz w:val="23"/>
          <w:u w:val="none"/>
        </w:rPr>
      </w:pPr>
      <w:r>
        <w:rPr>
          <w:u w:val="single"/>
        </w:rPr>
        <w:t>PCH’s</w:t>
      </w:r>
    </w:p>
    <w:p>
      <w:pPr>
        <w:pStyle w:val="BodyText"/>
        <w:ind w:left="927" w:right="216"/>
        <w:jc w:val="both"/>
      </w:pPr>
      <w:r>
        <w:rPr/>
        <w:t>La generación con PCH’s es para sistemas aislados en zonas rurales y no inyectarían energía al SENI. Según datos de proyecciones de nuevas pequeñas centrales hidroeléctricas se estima que a 2012 se instalarían 9 MW, generando 63.9 GWh/año.</w:t>
      </w:r>
    </w:p>
    <w:p>
      <w:pPr>
        <w:pStyle w:val="BodyText"/>
        <w:spacing w:before="2"/>
        <w:rPr>
          <w:sz w:val="22"/>
        </w:rPr>
      </w:pPr>
    </w:p>
    <w:p>
      <w:pPr>
        <w:pStyle w:val="Heading8"/>
        <w:numPr>
          <w:ilvl w:val="3"/>
          <w:numId w:val="10"/>
        </w:numPr>
        <w:tabs>
          <w:tab w:pos="940" w:val="left" w:leader="none"/>
        </w:tabs>
        <w:spacing w:line="288" w:lineRule="exact" w:before="0" w:after="0"/>
        <w:ind w:left="940" w:right="0" w:hanging="361"/>
        <w:jc w:val="both"/>
        <w:rPr>
          <w:rFonts w:ascii="Symbol" w:hAnsi="Symbol"/>
          <w:sz w:val="23"/>
          <w:u w:val="none"/>
        </w:rPr>
      </w:pPr>
      <w:r>
        <w:rPr>
          <w:u w:val="single"/>
        </w:rPr>
        <w:t>SFV</w:t>
      </w:r>
    </w:p>
    <w:p>
      <w:pPr>
        <w:pStyle w:val="BodyText"/>
        <w:ind w:left="927" w:right="214"/>
        <w:jc w:val="both"/>
      </w:pPr>
      <w:r>
        <w:rPr/>
        <w:t>En RD se desarrolló por parte de Enersol (organización fundada en 1984) un programa con SFV’s que fue pionero en el desarrollo de modelos de negocios para electrificación rural. En el PEN 2004-2015 se menciona que por información de distribuidores locales existen más de 20.000 sistemas fotovoltaicos en zonas rurales, principalmente para uso residencial. Por otro lado en el PROFER se indica que existen actualmente cerca de 350.000 hogares sin electricidad en las zonas rurales que podrían utilizar sistemas de energía renovable, entre los cuales se cuenta con los SFV’s. Se estima la introducción de 10,000 sistemas por año. Estos sistemas son aislados del SENI y alcanzarían a generar 17.79 GWh/año al</w:t>
      </w:r>
      <w:r>
        <w:rPr>
          <w:spacing w:val="-5"/>
        </w:rPr>
        <w:t> </w:t>
      </w:r>
      <w:r>
        <w:rPr/>
        <w:t>2020.</w:t>
      </w:r>
    </w:p>
    <w:p>
      <w:pPr>
        <w:pStyle w:val="BodyText"/>
        <w:spacing w:before="11"/>
        <w:rPr>
          <w:sz w:val="22"/>
        </w:rPr>
      </w:pPr>
    </w:p>
    <w:p>
      <w:pPr>
        <w:pStyle w:val="BodyText"/>
        <w:ind w:left="219" w:right="214"/>
        <w:jc w:val="both"/>
      </w:pPr>
      <w:r>
        <w:rPr/>
        <w:t>El gráfico siguiente muestra la generación con energía renovable desde el 2007 hasta el 2020. En la figura se observa que la energía con mayor penetración sería la energía eólica seguida de la cogeneración en las destilerías de alcohol.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r>
        <w:rPr/>
        <w:pict>
          <v:rect style="position:absolute;margin-left:72pt;margin-top:17.826450pt;width:143.999997pt;height:.72pt;mso-position-horizontal-relative:page;mso-position-vertical-relative:paragraph;z-index:-15689728;mso-wrap-distance-left:0;mso-wrap-distance-right:0" filled="true" fillcolor="#000000" stroked="false">
            <v:fill type="solid"/>
            <w10:wrap type="topAndBottom"/>
          </v:rect>
        </w:pict>
      </w:r>
    </w:p>
    <w:p>
      <w:pPr>
        <w:pStyle w:val="ListParagraph"/>
        <w:numPr>
          <w:ilvl w:val="0"/>
          <w:numId w:val="16"/>
        </w:numPr>
        <w:tabs>
          <w:tab w:pos="501" w:val="left" w:leader="none"/>
        </w:tabs>
        <w:spacing w:line="242" w:lineRule="auto" w:before="56" w:after="0"/>
        <w:ind w:left="219" w:right="215" w:firstLine="0"/>
        <w:jc w:val="both"/>
        <w:rPr>
          <w:rFonts w:ascii="Verdana" w:hAnsi="Verdana"/>
          <w:sz w:val="20"/>
        </w:rPr>
      </w:pPr>
      <w:r>
        <w:rPr>
          <w:rFonts w:ascii="Verdana" w:hAnsi="Verdana"/>
          <w:sz w:val="20"/>
        </w:rPr>
        <w:t>PROFER ha sido un programa de la GTZ desarrollado durante 4 años (03/03 hasta 02/07), cuyo objetivo principal era lograr que los decisores políticos tuvieran condiciones apropiadas para el fomento de las energías renovables. El proyecto actuó en dos niveles: el nivel gubernamental y a nivel de</w:t>
      </w:r>
      <w:r>
        <w:rPr>
          <w:rFonts w:ascii="Verdana" w:hAnsi="Verdana"/>
          <w:spacing w:val="3"/>
          <w:sz w:val="20"/>
        </w:rPr>
        <w:t> </w:t>
      </w:r>
      <w:r>
        <w:rPr>
          <w:rFonts w:ascii="Verdana" w:hAnsi="Verdana"/>
          <w:sz w:val="20"/>
        </w:rPr>
        <w:t>proyectos.</w:t>
      </w:r>
    </w:p>
    <w:p>
      <w:pPr>
        <w:spacing w:after="0" w:line="242" w:lineRule="auto"/>
        <w:jc w:val="both"/>
        <w:rPr>
          <w:rFonts w:ascii="Verdana" w:hAnsi="Verdana"/>
          <w:sz w:val="20"/>
        </w:rPr>
        <w:sectPr>
          <w:pgSz w:w="12240" w:h="15840"/>
          <w:pgMar w:header="718" w:footer="954" w:top="1500" w:bottom="1140" w:left="1220" w:right="1220"/>
        </w:sectPr>
      </w:pPr>
    </w:p>
    <w:p>
      <w:pPr>
        <w:pStyle w:val="BodyText"/>
        <w:spacing w:before="3"/>
        <w:rPr>
          <w:rFonts w:ascii="Verdana"/>
          <w:sz w:val="24"/>
        </w:rPr>
      </w:pPr>
    </w:p>
    <w:p>
      <w:pPr>
        <w:pStyle w:val="Heading9"/>
        <w:spacing w:before="100"/>
        <w:ind w:left="3786" w:hanging="3281"/>
        <w:rPr>
          <w:rFonts w:ascii="Verdana" w:hAnsi="Verdana"/>
        </w:rPr>
      </w:pPr>
      <w:r>
        <w:rPr/>
        <w:pict>
          <v:group style="position:absolute;margin-left:104.220001pt;margin-top:35.581532pt;width:402.85pt;height:199.45pt;mso-position-horizontal-relative:page;mso-position-vertical-relative:paragraph;z-index:15772672" coordorigin="2084,712" coordsize="8057,3989">
            <v:rect style="position:absolute;left:2085;top:712;width:8055;height:3987" filled="false" stroked="true" strokeweight=".12pt" strokecolor="#000000">
              <v:stroke dashstyle="solid"/>
            </v:rect>
            <v:rect style="position:absolute;left:2822;top:1392;width:5705;height:2890" filled="true" fillcolor="#c0c0c0" stroked="false">
              <v:fill type="solid"/>
            </v:rect>
            <v:shape style="position:absolute;left:2822;top:3122;width:5705;height:581" coordorigin="2822,3122" coordsize="5705,581" path="m2822,3703l4577,3703m4742,3703l4982,3703m5148,3703l5390,3703m5554,3703l5796,3703m5959,3703l6202,3703m6365,3703l6607,3703m6773,3703l7013,3703m7188,3703l7430,3703m7594,3703l7836,3703m8002,3703l8242,3703m8407,3703l8527,3703m2822,3122l4982,3122m5148,3122l5390,3122m5554,3122l5796,3122m5959,3122l6202,3122m6365,3122l6607,3122m6773,3122l7013,3122m7188,3122l7430,3122m7594,3122l7836,3122m8002,3122l8242,3122m8407,3122l8527,3122e" filled="false" stroked="true" strokeweight=".12pt" strokecolor="#000000">
              <v:path arrowok="t"/>
              <v:stroke dashstyle="solid"/>
            </v:shape>
            <v:shape style="position:absolute;left:2822;top:2553;width:5705;height:2" coordorigin="2822,2553" coordsize="5705,2" path="m2822,2554l5796,2554m5959,2554l6202,2554m6365,2554l6607,2554m6773,2554l7013,2554m7188,2554l7836,2554m8002,2554l8242,2554m8407,2554l8527,2554m2822,2553l5796,2553m5959,2553l6202,2553m6365,2553l6607,2553m6773,2553l7013,2553m7188,2553l7430,2553m7594,2553l7836,2553m8002,2553l8242,2553m8407,2553l8527,2553e" filled="false" stroked="true" strokeweight=".06pt" strokecolor="#000000">
              <v:path arrowok="t"/>
              <v:stroke dashstyle="solid"/>
            </v:shape>
            <v:shape style="position:absolute;left:2822;top:1972;width:5705;height:2" coordorigin="2822,1973" coordsize="5705,0" path="m2822,1973l8242,1973m8407,1973l8527,1973e" filled="false" stroked="true" strokeweight=".12pt" strokecolor="#000000">
              <v:path arrowok="t"/>
              <v:stroke dashstyle="solid"/>
            </v:shape>
            <v:line style="position:absolute" from="2822,1392" to="8527,1392" stroked="true" strokeweight=".12pt" strokecolor="#000000">
              <v:stroke dashstyle="solid"/>
            </v:line>
            <v:shape style="position:absolute;left:2822;top:1392;width:5705;height:2890" coordorigin="2822,1392" coordsize="5705,2890" path="m2822,1392l8527,1392m8527,1392l8527,4282e" filled="false" stroked="true" strokeweight=".547739pt" strokecolor="#7f7f7f">
              <v:path arrowok="t"/>
              <v:stroke dashstyle="solid"/>
            </v:shape>
            <v:shape style="position:absolute;left:2822;top:4278;width:5705;height:6" coordorigin="2822,4279" coordsize="5705,6" path="m2822,4279l3754,4279m3919,4279l4577,4279m4742,4279l4982,4279m5148,4279l5390,4279m5554,4279l5796,4279m5959,4279l6202,4279m6365,4279l6607,4279m6773,4279l7013,4279m7188,4279l7430,4279m7594,4279l7836,4279m8002,4279l8242,4279m8407,4279l8527,4279m2822,4284l8527,4284e" filled="false" stroked="true" strokeweight=".273794pt" strokecolor="#7f7f7f">
              <v:path arrowok="t"/>
              <v:stroke dashstyle="solid"/>
            </v:shape>
            <v:line style="position:absolute" from="2822,4282" to="2822,1392" stroked="true" strokeweight=".548397pt" strokecolor="#7f7f7f">
              <v:stroke dashstyle="solid"/>
            </v:line>
            <v:rect style="position:absolute;left:4159;top:4084;width:178;height:197" filled="true" fillcolor="#9999ff" stroked="false">
              <v:fill type="solid"/>
            </v:rect>
            <v:rect style="position:absolute;left:4159;top:4084;width:178;height:197" filled="false" stroked="true" strokeweight=".547806pt" strokecolor="#000000">
              <v:stroke dashstyle="solid"/>
            </v:rect>
            <v:rect style="position:absolute;left:4576;top:3801;width:166;height:480" filled="true" fillcolor="#9999ff" stroked="false">
              <v:fill type="solid"/>
            </v:rect>
            <v:rect style="position:absolute;left:4576;top:3801;width:166;height:480" filled="false" stroked="true" strokeweight=".548257pt" strokecolor="#000000">
              <v:stroke dashstyle="solid"/>
            </v:rect>
            <v:rect style="position:absolute;left:4982;top:3439;width:166;height:843" filled="true" fillcolor="#9999ff" stroked="false">
              <v:fill type="solid"/>
            </v:rect>
            <v:rect style="position:absolute;left:4982;top:3439;width:166;height:843" filled="false" stroked="true" strokeweight=".548348pt" strokecolor="#000000">
              <v:stroke dashstyle="solid"/>
            </v:rect>
            <v:rect style="position:absolute;left:5390;top:3242;width:164;height:1040" filled="true" fillcolor="#9999ff" stroked="false">
              <v:fill type="solid"/>
            </v:rect>
            <v:rect style="position:absolute;left:5390;top:3242;width:164;height:1040" filled="false" stroked="true" strokeweight=".548366pt" strokecolor="#000000">
              <v:stroke dashstyle="solid"/>
            </v:rect>
            <v:rect style="position:absolute;left:5796;top:3156;width:164;height:1126" filled="true" fillcolor="#9999ff" stroked="false">
              <v:fill type="solid"/>
            </v:rect>
            <v:rect style="position:absolute;left:5795;top:3156;width:164;height:1126" filled="false" stroked="true" strokeweight=".54837pt" strokecolor="#000000">
              <v:stroke dashstyle="solid"/>
            </v:rect>
            <v:rect style="position:absolute;left:6201;top:3079;width:164;height:1203" filled="true" fillcolor="#9999ff" stroked="false">
              <v:fill type="solid"/>
            </v:rect>
            <v:rect style="position:absolute;left:6201;top:3079;width:164;height:1203" filled="false" stroked="true" strokeweight=".548373pt" strokecolor="#000000">
              <v:stroke dashstyle="solid"/>
            </v:rect>
            <v:rect style="position:absolute;left:6607;top:2990;width:166;height:1292" filled="true" fillcolor="#9999ff" stroked="false">
              <v:fill type="solid"/>
            </v:rect>
            <v:rect style="position:absolute;left:6607;top:2990;width:166;height:1292" filled="false" stroked="true" strokeweight=".548376pt" strokecolor="#000000">
              <v:stroke dashstyle="solid"/>
            </v:rect>
            <v:rect style="position:absolute;left:7012;top:2904;width:176;height:1378" filled="true" fillcolor="#9999ff" stroked="false">
              <v:fill type="solid"/>
            </v:rect>
            <v:rect style="position:absolute;left:7012;top:2904;width:176;height:1378" filled="false" stroked="true" strokeweight=".548376pt" strokecolor="#000000">
              <v:stroke dashstyle="solid"/>
            </v:rect>
            <v:rect style="position:absolute;left:7430;top:2815;width:164;height:1467" filled="true" fillcolor="#9999ff" stroked="false">
              <v:fill type="solid"/>
            </v:rect>
            <v:rect style="position:absolute;left:7430;top:2815;width:164;height:1467" filled="false" stroked="true" strokeweight=".548381pt" strokecolor="#000000">
              <v:stroke dashstyle="solid"/>
            </v:rect>
            <v:rect style="position:absolute;left:7836;top:2728;width:166;height:1553" filled="true" fillcolor="#9999ff" stroked="false">
              <v:fill type="solid"/>
            </v:rect>
            <v:rect style="position:absolute;left:7835;top:2728;width:166;height:1553" filled="false" stroked="true" strokeweight=".548382pt" strokecolor="#000000">
              <v:stroke dashstyle="solid"/>
            </v:rect>
            <v:rect style="position:absolute;left:8241;top:2640;width:166;height:1642" filled="true" fillcolor="#9999ff" stroked="false">
              <v:fill type="solid"/>
            </v:rect>
            <v:rect style="position:absolute;left:8241;top:2640;width:166;height:1642" filled="false" stroked="true" strokeweight=".548384pt" strokecolor="#000000">
              <v:stroke dashstyle="solid"/>
            </v:rect>
            <v:rect style="position:absolute;left:3753;top:4173;width:166;height:108" filled="true" fillcolor="#ffffcc" stroked="false">
              <v:fill type="solid"/>
            </v:rect>
            <v:rect style="position:absolute;left:3753;top:4173;width:166;height:108" filled="false" stroked="true" strokeweight=".547473pt" strokecolor="#000000">
              <v:stroke dashstyle="solid"/>
            </v:rect>
            <v:rect style="position:absolute;left:4159;top:3931;width:178;height:154" filled="true" fillcolor="#ffffcc" stroked="false">
              <v:fill type="solid"/>
            </v:rect>
            <v:rect style="position:absolute;left:4159;top:3931;width:178;height:154" filled="false" stroked="true" strokeweight=".547644pt" strokecolor="#000000">
              <v:stroke dashstyle="solid"/>
            </v:rect>
            <v:rect style="position:absolute;left:4576;top:3592;width:166;height:209" filled="true" fillcolor="#ffffcc" stroked="false">
              <v:fill type="solid"/>
            </v:rect>
            <v:rect style="position:absolute;left:4576;top:3592;width:166;height:209" filled="false" stroked="true" strokeweight=".547889pt" strokecolor="#000000">
              <v:stroke dashstyle="solid"/>
            </v:rect>
            <v:rect style="position:absolute;left:4982;top:3165;width:166;height:274" filled="true" fillcolor="#ffffcc" stroked="false">
              <v:fill type="solid"/>
            </v:rect>
            <v:rect style="position:absolute;left:4982;top:3165;width:166;height:274" filled="false" stroked="true" strokeweight=".548044pt" strokecolor="#000000">
              <v:stroke dashstyle="solid"/>
            </v:rect>
            <v:rect style="position:absolute;left:5390;top:2980;width:164;height:262" filled="true" fillcolor="#ffffcc" stroked="false">
              <v:fill type="solid"/>
            </v:rect>
            <v:rect style="position:absolute;left:5390;top:2980;width:164;height:262" filled="false" stroked="true" strokeweight=".548028pt" strokecolor="#000000">
              <v:stroke dashstyle="solid"/>
            </v:rect>
            <v:rect style="position:absolute;left:5796;top:2892;width:164;height:264" filled="true" fillcolor="#ffffcc" stroked="false">
              <v:fill type="solid"/>
            </v:rect>
            <v:rect style="position:absolute;left:5795;top:2892;width:164;height:265" filled="false" stroked="true" strokeweight=".548033pt" strokecolor="#000000">
              <v:stroke dashstyle="solid"/>
            </v:rect>
            <v:rect style="position:absolute;left:6201;top:2805;width:164;height:274" filled="true" fillcolor="#ffffcc" stroked="false">
              <v:fill type="solid"/>
            </v:rect>
            <v:rect style="position:absolute;left:6201;top:2805;width:164;height:274" filled="false" stroked="true" strokeweight=".548052pt" strokecolor="#000000">
              <v:stroke dashstyle="solid"/>
            </v:rect>
            <v:rect style="position:absolute;left:6607;top:2728;width:166;height:262" filled="true" fillcolor="#ffffcc" stroked="false">
              <v:fill type="solid"/>
            </v:rect>
            <v:rect style="position:absolute;left:6607;top:2728;width:166;height:262" filled="false" stroked="true" strokeweight=".548020pt" strokecolor="#000000">
              <v:stroke dashstyle="solid"/>
            </v:rect>
            <v:rect style="position:absolute;left:7012;top:2640;width:176;height:264" filled="true" fillcolor="#ffffcc" stroked="false">
              <v:fill type="solid"/>
            </v:rect>
            <v:rect style="position:absolute;left:7012;top:2640;width:176;height:264" filled="false" stroked="true" strokeweight=".547994pt" strokecolor="#000000">
              <v:stroke dashstyle="solid"/>
            </v:rect>
            <v:rect style="position:absolute;left:7430;top:2553;width:164;height:262" filled="true" fillcolor="#ffffcc" stroked="false">
              <v:fill type="solid"/>
            </v:rect>
            <v:rect style="position:absolute;left:7430;top:2553;width:164;height:262" filled="false" stroked="true" strokeweight=".548028pt" strokecolor="#000000">
              <v:stroke dashstyle="solid"/>
            </v:rect>
            <v:rect style="position:absolute;left:7836;top:2464;width:166;height:264" filled="true" fillcolor="#ffffcc" stroked="false">
              <v:fill type="solid"/>
            </v:rect>
            <v:rect style="position:absolute;left:7835;top:2464;width:166;height:264" filled="false" stroked="true" strokeweight=".548025pt" strokecolor="#000000">
              <v:stroke dashstyle="solid"/>
            </v:rect>
            <v:rect style="position:absolute;left:8241;top:2378;width:166;height:262" filled="true" fillcolor="#ffffcc" stroked="false">
              <v:fill type="solid"/>
            </v:rect>
            <v:rect style="position:absolute;left:8241;top:2378;width:166;height:262" filled="false" stroked="true" strokeweight=".548020pt" strokecolor="#000000">
              <v:stroke dashstyle="solid"/>
            </v:rect>
            <v:rect style="position:absolute;left:4159;top:3878;width:178;height:53" filled="true" fillcolor="#0065cc" stroked="false">
              <v:fill type="solid"/>
            </v:rect>
            <v:rect style="position:absolute;left:4159;top:3878;width:178;height:53" filled="false" stroked="true" strokeweight=".547187pt" strokecolor="#000000">
              <v:stroke dashstyle="solid"/>
            </v:rect>
            <v:rect style="position:absolute;left:4576;top:3494;width:166;height:99" filled="true" fillcolor="#0065cc" stroked="false">
              <v:fill type="solid"/>
            </v:rect>
            <v:rect style="position:absolute;left:4576;top:3494;width:166;height:99" filled="false" stroked="true" strokeweight=".547424pt" strokecolor="#000000">
              <v:stroke dashstyle="solid"/>
            </v:rect>
            <v:rect style="position:absolute;left:4982;top:3012;width:166;height:154" filled="true" fillcolor="#0065cc" stroked="false">
              <v:fill type="solid"/>
            </v:rect>
            <v:rect style="position:absolute;left:4982;top:3012;width:166;height:154" filled="false" stroked="true" strokeweight=".547689pt" strokecolor="#000000">
              <v:stroke dashstyle="solid"/>
            </v:rect>
            <v:rect style="position:absolute;left:5390;top:2827;width:164;height:154" filled="true" fillcolor="#0065cc" stroked="false">
              <v:fill type="solid"/>
            </v:rect>
            <v:rect style="position:absolute;left:5390;top:2827;width:164;height:154" filled="false" stroked="true" strokeweight=".547699pt" strokecolor="#000000">
              <v:stroke dashstyle="solid"/>
            </v:rect>
            <v:rect style="position:absolute;left:5796;top:2738;width:164;height:154" filled="true" fillcolor="#0065cc" stroked="false">
              <v:fill type="solid"/>
            </v:rect>
            <v:rect style="position:absolute;left:5795;top:2738;width:164;height:154" filled="false" stroked="true" strokeweight=".547699pt" strokecolor="#000000">
              <v:stroke dashstyle="solid"/>
            </v:rect>
            <v:rect style="position:absolute;left:6201;top:2652;width:164;height:154" filled="true" fillcolor="#0065cc" stroked="false">
              <v:fill type="solid"/>
            </v:rect>
            <v:rect style="position:absolute;left:6201;top:2652;width:164;height:154" filled="false" stroked="true" strokeweight=".547699pt" strokecolor="#000000">
              <v:stroke dashstyle="solid"/>
            </v:rect>
            <v:rect style="position:absolute;left:6607;top:2575;width:166;height:154" filled="true" fillcolor="#0065cc" stroked="false">
              <v:fill type="solid"/>
            </v:rect>
            <v:rect style="position:absolute;left:6607;top:2575;width:166;height:154" filled="false" stroked="true" strokeweight=".547689pt" strokecolor="#000000">
              <v:stroke dashstyle="solid"/>
            </v:rect>
            <v:rect style="position:absolute;left:7012;top:2486;width:176;height:154" filled="true" fillcolor="#0065cc" stroked="false">
              <v:fill type="solid"/>
            </v:rect>
            <v:rect style="position:absolute;left:7012;top:2486;width:176;height:154" filled="false" stroked="true" strokeweight=".547652pt" strokecolor="#000000">
              <v:stroke dashstyle="solid"/>
            </v:rect>
            <v:rect style="position:absolute;left:7430;top:2400;width:164;height:154" filled="true" fillcolor="#0065cc" stroked="false">
              <v:fill type="solid"/>
            </v:rect>
            <v:rect style="position:absolute;left:7430;top:2400;width:164;height:154" filled="false" stroked="true" strokeweight=".547699pt" strokecolor="#000000">
              <v:stroke dashstyle="solid"/>
            </v:rect>
            <v:rect style="position:absolute;left:7836;top:2311;width:166;height:154" filled="true" fillcolor="#0065cc" stroked="false">
              <v:fill type="solid"/>
            </v:rect>
            <v:rect style="position:absolute;left:7835;top:2311;width:166;height:154" filled="false" stroked="true" strokeweight=".547689pt" strokecolor="#000000">
              <v:stroke dashstyle="solid"/>
            </v:rect>
            <v:rect style="position:absolute;left:8241;top:2224;width:166;height:154" filled="true" fillcolor="#0065cc" stroked="false">
              <v:fill type="solid"/>
            </v:rect>
            <v:rect style="position:absolute;left:8241;top:2224;width:166;height:154" filled="false" stroked="true" strokeweight=".547689pt" strokecolor="#000000">
              <v:stroke dashstyle="solid"/>
            </v:rect>
            <v:rect style="position:absolute;left:4159;top:3832;width:178;height:46" filled="true" fillcolor="#ffcc00" stroked="false">
              <v:fill type="solid"/>
            </v:rect>
            <v:rect style="position:absolute;left:4159;top:3832;width:178;height:46" filled="false" stroked="true" strokeweight=".547161pt" strokecolor="#000000">
              <v:stroke dashstyle="solid"/>
            </v:rect>
            <v:rect style="position:absolute;left:4576;top:3340;width:166;height:154" filled="true" fillcolor="#ffcc00" stroked="false">
              <v:fill type="solid"/>
            </v:rect>
            <v:rect style="position:absolute;left:4576;top:3340;width:166;height:154" filled="false" stroked="true" strokeweight=".547689pt" strokecolor="#000000">
              <v:stroke dashstyle="solid"/>
            </v:rect>
            <v:rect style="position:absolute;left:4982;top:2815;width:166;height:197" filled="true" fillcolor="#ffcc00" stroked="false">
              <v:fill type="solid"/>
            </v:rect>
            <v:rect style="position:absolute;left:4982;top:2815;width:166;height:197" filled="false" stroked="true" strokeweight=".547851pt" strokecolor="#000000">
              <v:stroke dashstyle="solid"/>
            </v:rect>
            <v:rect style="position:absolute;left:5390;top:2630;width:164;height:197" filled="true" fillcolor="#ffcc00" stroked="false">
              <v:fill type="solid"/>
            </v:rect>
            <v:rect style="position:absolute;left:5390;top:2630;width:164;height:197" filled="false" stroked="true" strokeweight=".547861pt" strokecolor="#000000">
              <v:stroke dashstyle="solid"/>
            </v:rect>
            <v:rect style="position:absolute;left:5796;top:2541;width:164;height:197" filled="true" fillcolor="#ffcc00" stroked="false">
              <v:fill type="solid"/>
            </v:rect>
            <v:rect style="position:absolute;left:5795;top:2541;width:164;height:197" filled="false" stroked="true" strokeweight=".547861pt" strokecolor="#000000">
              <v:stroke dashstyle="solid"/>
            </v:rect>
            <v:rect style="position:absolute;left:6201;top:2455;width:164;height:197" filled="true" fillcolor="#ffcc00" stroked="false">
              <v:fill type="solid"/>
            </v:rect>
            <v:rect style="position:absolute;left:6201;top:2455;width:164;height:197" filled="false" stroked="true" strokeweight=".547861pt" strokecolor="#000000">
              <v:stroke dashstyle="solid"/>
            </v:rect>
            <v:rect style="position:absolute;left:6607;top:2366;width:166;height:209" filled="true" fillcolor="#ffcc00" stroked="false">
              <v:fill type="solid"/>
            </v:rect>
            <v:rect style="position:absolute;left:6607;top:2366;width:166;height:209" filled="false" stroked="true" strokeweight=".547889pt" strokecolor="#000000">
              <v:stroke dashstyle="solid"/>
            </v:rect>
            <v:rect style="position:absolute;left:7012;top:2280;width:176;height:207" filled="true" fillcolor="#ffcc00" stroked="false">
              <v:fill type="solid"/>
            </v:rect>
            <v:rect style="position:absolute;left:7012;top:2280;width:176;height:207" filled="false" stroked="true" strokeweight=".547846pt" strokecolor="#000000">
              <v:stroke dashstyle="solid"/>
            </v:rect>
            <v:rect style="position:absolute;left:7430;top:2191;width:164;height:209" filled="true" fillcolor="#ffcc00" stroked="false">
              <v:fill type="solid"/>
            </v:rect>
            <v:rect style="position:absolute;left:7430;top:2191;width:164;height:209" filled="false" stroked="true" strokeweight=".547898pt" strokecolor="#000000">
              <v:stroke dashstyle="solid"/>
            </v:rect>
            <v:rect style="position:absolute;left:7836;top:2104;width:166;height:207" filled="true" fillcolor="#ffcc00" stroked="false">
              <v:fill type="solid"/>
            </v:rect>
            <v:rect style="position:absolute;left:7835;top:2104;width:166;height:207" filled="false" stroked="true" strokeweight=".547881pt" strokecolor="#000000">
              <v:stroke dashstyle="solid"/>
            </v:rect>
            <v:rect style="position:absolute;left:8241;top:2028;width:166;height:197" filled="true" fillcolor="#ffcc00" stroked="false">
              <v:fill type="solid"/>
            </v:rect>
            <v:rect style="position:absolute;left:8241;top:2028;width:166;height:197" filled="false" stroked="true" strokeweight=".547851pt" strokecolor="#000000">
              <v:stroke dashstyle="solid"/>
            </v:rect>
            <v:rect style="position:absolute;left:2942;top:4272;width:166;height:10" filled="true" fillcolor="#ff7f7f" stroked="false">
              <v:fill type="solid"/>
            </v:rect>
            <v:rect style="position:absolute;left:2942;top:4272;width:166;height:10" filled="false" stroked="true" strokeweight=".547084pt" strokecolor="#000000">
              <v:stroke dashstyle="solid"/>
            </v:rect>
            <v:rect style="position:absolute;left:3348;top:4260;width:166;height:22" filled="true" fillcolor="#ff7f7f" stroked="false">
              <v:fill type="solid"/>
            </v:rect>
            <v:rect style="position:absolute;left:3347;top:4260;width:166;height:22" filled="false" stroked="true" strokeweight=".547102pt" strokecolor="#000000">
              <v:stroke dashstyle="solid"/>
            </v:rect>
            <v:rect style="position:absolute;left:3753;top:4140;width:166;height:34" filled="true" fillcolor="#ff7f7f" stroked="false">
              <v:fill type="solid"/>
            </v:rect>
            <v:rect style="position:absolute;left:3753;top:4140;width:166;height:34" filled="false" stroked="true" strokeweight=".547132pt" strokecolor="#000000">
              <v:stroke dashstyle="solid"/>
            </v:rect>
            <v:rect style="position:absolute;left:4159;top:3789;width:178;height:44" filled="true" fillcolor="#ff7f7f" stroked="false">
              <v:fill type="solid"/>
            </v:rect>
            <v:rect style="position:absolute;left:4159;top:3789;width:178;height:44" filled="false" stroked="true" strokeweight=".547154pt" strokecolor="#000000">
              <v:stroke dashstyle="solid"/>
            </v:rect>
            <v:rect style="position:absolute;left:4576;top:3285;width:166;height:56" filled="true" fillcolor="#ff7f7f" stroked="false">
              <v:fill type="solid"/>
            </v:rect>
            <v:rect style="position:absolute;left:4576;top:3285;width:166;height:56" filled="false" stroked="true" strokeweight=".547212pt" strokecolor="#000000">
              <v:stroke dashstyle="solid"/>
            </v:rect>
            <v:rect style="position:absolute;left:4982;top:2760;width:166;height:56" filled="true" fillcolor="#ff7f7f" stroked="false">
              <v:fill type="solid"/>
            </v:rect>
            <v:rect style="position:absolute;left:4982;top:2760;width:166;height:56" filled="false" stroked="true" strokeweight=".547212pt" strokecolor="#000000">
              <v:stroke dashstyle="solid"/>
            </v:rect>
            <v:rect style="position:absolute;left:5390;top:2563;width:164;height:68" filled="true" fillcolor="#ff7f7f" stroked="false">
              <v:fill type="solid"/>
            </v:rect>
            <v:rect style="position:absolute;left:5390;top:2563;width:164;height:68" filled="false" stroked="true" strokeweight=".547271pt" strokecolor="#000000">
              <v:stroke dashstyle="solid"/>
            </v:rect>
            <v:rect style="position:absolute;left:5796;top:2464;width:164;height:77" filled="true" fillcolor="#ff7f7f" stroked="false">
              <v:fill type="solid"/>
            </v:rect>
            <v:rect style="position:absolute;left:5795;top:2464;width:164;height:77" filled="false" stroked="true" strokeweight=".547319pt" strokecolor="#000000">
              <v:stroke dashstyle="solid"/>
            </v:rect>
            <v:rect style="position:absolute;left:6201;top:2366;width:164;height:89" filled="true" fillcolor="#ff7f7f" stroked="false">
              <v:fill type="solid"/>
            </v:rect>
            <v:rect style="position:absolute;left:6201;top:2366;width:164;height:89" filled="false" stroked="true" strokeweight=".547381pt" strokecolor="#000000">
              <v:stroke dashstyle="solid"/>
            </v:rect>
            <v:rect style="position:absolute;left:6607;top:2280;width:166;height:87" filled="true" fillcolor="#ff7f7f" stroked="false">
              <v:fill type="solid"/>
            </v:rect>
            <v:rect style="position:absolute;left:6607;top:2280;width:166;height:87" filled="false" stroked="true" strokeweight=".547362pt" strokecolor="#000000">
              <v:stroke dashstyle="solid"/>
            </v:rect>
            <v:rect style="position:absolute;left:7012;top:2181;width:176;height:99" filled="true" fillcolor="#ff7f7f" stroked="false">
              <v:fill type="solid"/>
            </v:rect>
            <v:rect style="position:absolute;left:7012;top:2181;width:176;height:99" filled="false" stroked="true" strokeweight=".547396pt" strokecolor="#000000">
              <v:stroke dashstyle="solid"/>
            </v:rect>
            <v:rect style="position:absolute;left:7430;top:2083;width:164;height:108" filled="true" fillcolor="#ff7f7f" stroked="false">
              <v:fill type="solid"/>
            </v:rect>
            <v:rect style="position:absolute;left:7430;top:2083;width:164;height:108" filled="false" stroked="true" strokeweight=".547481pt" strokecolor="#000000">
              <v:stroke dashstyle="solid"/>
            </v:rect>
            <v:rect style="position:absolute;left:7836;top:1994;width:166;height:111" filled="true" fillcolor="#ff7f7f" stroked="false">
              <v:fill type="solid"/>
            </v:rect>
            <v:rect style="position:absolute;left:7835;top:1994;width:166;height:111" filled="false" stroked="true" strokeweight=".547485pt" strokecolor="#000000">
              <v:stroke dashstyle="solid"/>
            </v:rect>
            <v:rect style="position:absolute;left:8241;top:1896;width:166;height:132" filled="true" fillcolor="#ff7f7f" stroked="false">
              <v:fill type="solid"/>
            </v:rect>
            <v:rect style="position:absolute;left:8241;top:1896;width:166;height:132" filled="false" stroked="true" strokeweight=".547592pt" strokecolor="#000000">
              <v:stroke dashstyle="solid"/>
            </v:rect>
            <v:rect style="position:absolute;left:4159;top:3780;width:178;height:10" filled="true" fillcolor="#329965" stroked="false">
              <v:fill type="solid"/>
            </v:rect>
            <v:rect style="position:absolute;left:4159;top:3780;width:178;height:10" filled="false" stroked="true" strokeweight=".547084pt" strokecolor="#000000">
              <v:stroke dashstyle="solid"/>
            </v:rect>
            <v:rect style="position:absolute;left:4576;top:3276;width:166;height:10" filled="true" fillcolor="#329965" stroked="false">
              <v:fill type="solid"/>
            </v:rect>
            <v:rect style="position:absolute;left:4576;top:3276;width:166;height:10" filled="false" stroked="true" strokeweight=".547084pt" strokecolor="#000000">
              <v:stroke dashstyle="solid"/>
            </v:rect>
            <v:rect style="position:absolute;left:4982;top:2738;width:166;height:22" filled="true" fillcolor="#329965" stroked="false">
              <v:fill type="solid"/>
            </v:rect>
            <v:rect style="position:absolute;left:4982;top:2738;width:166;height:22" filled="false" stroked="true" strokeweight=".547102pt" strokecolor="#000000">
              <v:stroke dashstyle="solid"/>
            </v:rect>
            <v:rect style="position:absolute;left:5390;top:2532;width:164;height:32" filled="true" fillcolor="#329965" stroked="false">
              <v:fill type="solid"/>
            </v:rect>
            <v:rect style="position:absolute;left:5390;top:2532;width:164;height:32" filled="false" stroked="true" strokeweight=".547126pt" strokecolor="#000000">
              <v:stroke dashstyle="solid"/>
            </v:rect>
            <v:rect style="position:absolute;left:5796;top:2431;width:164;height:34" filled="true" fillcolor="#329965" stroked="false">
              <v:fill type="solid"/>
            </v:rect>
            <v:rect style="position:absolute;left:5795;top:2431;width:164;height:34" filled="false" stroked="true" strokeweight=".547134pt" strokecolor="#000000">
              <v:stroke dashstyle="solid"/>
            </v:rect>
            <v:rect style="position:absolute;left:6201;top:2332;width:164;height:34" filled="true" fillcolor="#329965" stroked="false">
              <v:fill type="solid"/>
            </v:rect>
            <v:rect style="position:absolute;left:6201;top:2332;width:164;height:34" filled="false" stroked="true" strokeweight=".547134pt" strokecolor="#000000">
              <v:stroke dashstyle="solid"/>
            </v:rect>
            <v:rect style="position:absolute;left:6607;top:2234;width:166;height:46" filled="true" fillcolor="#329965" stroked="false">
              <v:fill type="solid"/>
            </v:rect>
            <v:rect style="position:absolute;left:6607;top:2234;width:166;height:46" filled="false" stroked="true" strokeweight=".547173pt" strokecolor="#000000">
              <v:stroke dashstyle="solid"/>
            </v:rect>
            <v:rect style="position:absolute;left:7012;top:2136;width:176;height:46" filled="true" fillcolor="#329965" stroked="false">
              <v:fill type="solid"/>
            </v:rect>
            <v:rect style="position:absolute;left:7012;top:2136;width:176;height:46" filled="false" stroked="true" strokeweight=".547164pt" strokecolor="#000000">
              <v:stroke dashstyle="solid"/>
            </v:rect>
            <v:rect style="position:absolute;left:7430;top:2049;width:164;height:34" filled="true" fillcolor="#329965" stroked="false">
              <v:fill type="solid"/>
            </v:rect>
            <v:rect style="position:absolute;left:7430;top:2049;width:164;height:34" filled="false" stroked="true" strokeweight=".547134pt" strokecolor="#000000">
              <v:stroke dashstyle="solid"/>
            </v:rect>
            <v:rect style="position:absolute;left:7836;top:1939;width:166;height:56" filled="true" fillcolor="#329965" stroked="false">
              <v:fill type="solid"/>
            </v:rect>
            <v:rect style="position:absolute;left:7835;top:1939;width:166;height:56" filled="false" stroked="true" strokeweight=".547212pt" strokecolor="#000000">
              <v:stroke dashstyle="solid"/>
            </v:rect>
            <v:rect style="position:absolute;left:8241;top:1852;width:166;height:44" filled="true" fillcolor="#329965" stroked="false">
              <v:fill type="solid"/>
            </v:rect>
            <v:rect style="position:absolute;left:8241;top:1852;width:166;height:44" filled="false" stroked="true" strokeweight=".547164pt" strokecolor="#000000">
              <v:stroke dashstyle="solid"/>
            </v:rect>
            <v:rect style="position:absolute;left:3753;top:4128;width:166;height:12" filled="true" fillcolor="#650065" stroked="false">
              <v:fill type="solid"/>
            </v:rect>
            <v:rect style="position:absolute;left:3753;top:4128;width:166;height:12" filled="false" stroked="true" strokeweight=".547087pt" strokecolor="#000000">
              <v:stroke dashstyle="solid"/>
            </v:rect>
            <v:rect style="position:absolute;left:4159;top:3756;width:178;height:24" filled="true" fillcolor="#650065" stroked="false">
              <v:fill type="solid"/>
            </v:rect>
            <v:rect style="position:absolute;left:4159;top:3756;width:178;height:24" filled="false" stroked="true" strokeweight=".547104pt" strokecolor="#000000">
              <v:stroke dashstyle="solid"/>
            </v:rect>
            <v:rect style="position:absolute;left:4576;top:3242;width:166;height:34" filled="true" fillcolor="#650065" stroked="false">
              <v:fill type="solid"/>
            </v:rect>
            <v:rect style="position:absolute;left:4576;top:3242;width:166;height:34" filled="false" stroked="true" strokeweight=".547132pt" strokecolor="#000000">
              <v:stroke dashstyle="solid"/>
            </v:rect>
            <v:rect style="position:absolute;left:4982;top:2695;width:166;height:44" filled="true" fillcolor="#650065" stroked="false">
              <v:fill type="solid"/>
            </v:rect>
            <v:rect style="position:absolute;left:4982;top:2695;width:166;height:44" filled="false" stroked="true" strokeweight=".547164pt" strokecolor="#000000">
              <v:stroke dashstyle="solid"/>
            </v:rect>
            <v:rect style="position:absolute;left:5390;top:2498;width:164;height:34" filled="true" fillcolor="#650065" stroked="false">
              <v:fill type="solid"/>
            </v:rect>
            <v:rect style="position:absolute;left:5390;top:2498;width:164;height:34" filled="false" stroked="true" strokeweight=".547133pt" strokecolor="#000000">
              <v:stroke dashstyle="solid"/>
            </v:rect>
            <v:rect style="position:absolute;left:5796;top:2400;width:164;height:32" filled="true" fillcolor="#650065" stroked="false">
              <v:fill type="solid"/>
            </v:rect>
            <v:rect style="position:absolute;left:5795;top:2400;width:164;height:32" filled="false" stroked="true" strokeweight=".547126pt" strokecolor="#000000">
              <v:stroke dashstyle="solid"/>
            </v:rect>
            <v:rect style="position:absolute;left:6201;top:2301;width:164;height:32" filled="true" fillcolor="#650065" stroked="false">
              <v:fill type="solid"/>
            </v:rect>
            <v:rect style="position:absolute;left:6201;top:2301;width:164;height:32" filled="false" stroked="true" strokeweight=".547126pt" strokecolor="#000000">
              <v:stroke dashstyle="solid"/>
            </v:rect>
            <v:rect style="position:absolute;left:6607;top:2203;width:166;height:32" filled="true" fillcolor="#650065" stroked="false">
              <v:fill type="solid"/>
            </v:rect>
            <v:rect style="position:absolute;left:6607;top:2203;width:166;height:32" filled="false" stroked="true" strokeweight=".547125pt" strokecolor="#000000">
              <v:stroke dashstyle="solid"/>
            </v:rect>
            <v:rect style="position:absolute;left:7012;top:2104;width:176;height:32" filled="true" fillcolor="#650065" stroked="false">
              <v:fill type="solid"/>
            </v:rect>
            <v:rect style="position:absolute;left:7012;top:2104;width:176;height:32" filled="false" stroked="true" strokeweight=".547120pt" strokecolor="#000000">
              <v:stroke dashstyle="solid"/>
            </v:rect>
            <v:rect style="position:absolute;left:7430;top:2006;width:164;height:44" filled="true" fillcolor="#650065" stroked="false">
              <v:fill type="solid"/>
            </v:rect>
            <v:rect style="position:absolute;left:7430;top:2006;width:164;height:44" filled="false" stroked="true" strokeweight=".547166pt" strokecolor="#000000">
              <v:stroke dashstyle="solid"/>
            </v:rect>
            <v:rect style="position:absolute;left:7836;top:1908;width:166;height:32" filled="true" fillcolor="#650065" stroked="false">
              <v:fill type="solid"/>
            </v:rect>
            <v:rect style="position:absolute;left:7835;top:1908;width:166;height:32" filled="false" stroked="true" strokeweight=".547125pt" strokecolor="#000000">
              <v:stroke dashstyle="solid"/>
            </v:rect>
            <v:rect style="position:absolute;left:8241;top:1807;width:166;height:46" filled="true" fillcolor="#650065" stroked="false">
              <v:fill type="solid"/>
            </v:rect>
            <v:rect style="position:absolute;left:8241;top:1807;width:166;height:46" filled="false" stroked="true" strokeweight=".547173pt" strokecolor="#000000">
              <v:stroke dashstyle="solid"/>
            </v:rect>
            <v:rect style="position:absolute;left:3348;top:4250;width:166;height:10" filled="true" fillcolor="#ccffff" stroked="false">
              <v:fill type="solid"/>
            </v:rect>
            <v:rect style="position:absolute;left:3347;top:4250;width:166;height:10" filled="false" stroked="true" strokeweight=".547084pt" strokecolor="#000000">
              <v:stroke dashstyle="solid"/>
            </v:rect>
            <v:rect style="position:absolute;left:4576;top:3230;width:166;height:12" filled="true" fillcolor="#ccffff" stroked="false">
              <v:fill type="solid"/>
            </v:rect>
            <v:rect style="position:absolute;left:4576;top:3230;width:166;height:12" filled="false" stroked="true" strokeweight=".547087pt" strokecolor="#000000">
              <v:stroke dashstyle="solid"/>
            </v:rect>
            <v:rect style="position:absolute;left:5390;top:2486;width:164;height:12" filled="true" fillcolor="#ccffff" stroked="false">
              <v:fill type="solid"/>
            </v:rect>
            <v:rect style="position:absolute;left:5390;top:2486;width:164;height:12" filled="false" stroked="true" strokeweight=".547087pt" strokecolor="#000000">
              <v:stroke dashstyle="solid"/>
            </v:rect>
            <v:rect style="position:absolute;left:5796;top:2388;width:164;height:12" filled="true" fillcolor="#ccffff" stroked="false">
              <v:fill type="solid"/>
            </v:rect>
            <v:rect style="position:absolute;left:5795;top:2388;width:164;height:12" filled="false" stroked="true" strokeweight=".547087pt" strokecolor="#000000">
              <v:stroke dashstyle="solid"/>
            </v:rect>
            <v:rect style="position:absolute;left:6201;top:2289;width:164;height:12" filled="true" fillcolor="#ccffff" stroked="false">
              <v:fill type="solid"/>
            </v:rect>
            <v:rect style="position:absolute;left:6201;top:2289;width:164;height:12" filled="false" stroked="true" strokeweight=".547087pt" strokecolor="#000000">
              <v:stroke dashstyle="solid"/>
            </v:rect>
            <v:rect style="position:absolute;left:6607;top:2191;width:166;height:12" filled="true" fillcolor="#ccffff" stroked="false">
              <v:fill type="solid"/>
            </v:rect>
            <v:rect style="position:absolute;left:6607;top:2191;width:166;height:12" filled="false" stroked="true" strokeweight=".547087pt" strokecolor="#000000">
              <v:stroke dashstyle="solid"/>
            </v:rect>
            <v:rect style="position:absolute;left:7012;top:2092;width:176;height:12" filled="true" fillcolor="#ccffff" stroked="false">
              <v:fill type="solid"/>
            </v:rect>
            <v:rect style="position:absolute;left:7012;top:2092;width:176;height:12" filled="false" stroked="true" strokeweight=".547086pt" strokecolor="#000000">
              <v:stroke dashstyle="solid"/>
            </v:rect>
            <v:rect style="position:absolute;left:7430;top:1994;width:164;height:12" filled="true" fillcolor="#ccffff" stroked="false">
              <v:fill type="solid"/>
            </v:rect>
            <v:rect style="position:absolute;left:7430;top:1994;width:164;height:12" filled="false" stroked="true" strokeweight=".547087pt" strokecolor="#000000">
              <v:stroke dashstyle="solid"/>
            </v:rect>
            <v:rect style="position:absolute;left:7836;top:1896;width:166;height:12" filled="true" fillcolor="#ccffff" stroked="false">
              <v:fill type="solid"/>
            </v:rect>
            <v:rect style="position:absolute;left:7835;top:1896;width:166;height:12" filled="false" stroked="true" strokeweight=".547087pt" strokecolor="#000000">
              <v:stroke dashstyle="solid"/>
            </v:rect>
            <v:rect style="position:absolute;left:8241;top:1797;width:166;height:10" filled="true" fillcolor="#ccffff" stroked="false">
              <v:fill type="solid"/>
            </v:rect>
            <v:rect style="position:absolute;left:8241;top:1797;width:166;height:10" filled="false" stroked="true" strokeweight=".547084pt" strokecolor="#000000">
              <v:stroke dashstyle="solid"/>
            </v:rect>
            <v:shape style="position:absolute;left:2788;top:1392;width:5739;height:2924" coordorigin="2789,1392" coordsize="5739,2924" path="m2822,1392l2822,4282m2789,4282l2822,4282m2789,3703l2822,3703m2789,3122l2822,3122m2789,2554l2822,2554m2789,1973l2822,1973m2789,1392l2822,1392m2822,4282l8527,4282m2822,4315l2822,4282m3228,4315l3228,4282m3634,4315l3634,4282m4039,4315l4039,4282m4457,4315l4457,4282m4862,4315l4862,4282m5268,4315l5268,4282m5674,4315l5674,4282m6082,4315l6082,4282m6487,4315l6487,4282m6893,4315l6893,4282m7310,4315l7310,4282m7716,4315l7716,4282m8122,4315l8122,4282m8527,4315l8527,4282e" filled="false" stroked="true" strokeweight=".12pt" strokecolor="#000000">
              <v:path arrowok="t"/>
              <v:stroke dashstyle="solid"/>
            </v:shape>
            <v:rect style="position:absolute;left:8791;top:2092;width:65;height:65" filled="true" fillcolor="#ccffff" stroked="false">
              <v:fill type="solid"/>
            </v:rect>
            <v:rect style="position:absolute;left:8791;top:2092;width:65;height:65" filled="false" stroked="true" strokeweight=".547739pt" strokecolor="#000000">
              <v:stroke dashstyle="solid"/>
            </v:rect>
            <v:rect style="position:absolute;left:8791;top:2323;width:65;height:65" filled="true" fillcolor="#650065" stroked="false">
              <v:fill type="solid"/>
            </v:rect>
            <v:rect style="position:absolute;left:8791;top:2323;width:65;height:65" filled="false" stroked="true" strokeweight=".547739pt" strokecolor="#000000">
              <v:stroke dashstyle="solid"/>
            </v:rect>
            <v:rect style="position:absolute;left:8791;top:2553;width:65;height:65" filled="true" fillcolor="#329965" stroked="false">
              <v:fill type="solid"/>
            </v:rect>
            <v:rect style="position:absolute;left:8791;top:2553;width:65;height:65" filled="false" stroked="true" strokeweight=".547739pt" strokecolor="#000000">
              <v:stroke dashstyle="solid"/>
            </v:rect>
            <v:rect style="position:absolute;left:8791;top:2781;width:65;height:68" filled="true" fillcolor="#ff7f7f" stroked="false">
              <v:fill type="solid"/>
            </v:rect>
            <v:rect style="position:absolute;left:8791;top:2781;width:65;height:68" filled="false" stroked="true" strokeweight=".547762pt" strokecolor="#000000">
              <v:stroke dashstyle="solid"/>
            </v:rect>
            <v:rect style="position:absolute;left:8791;top:3012;width:65;height:68" filled="true" fillcolor="#ffcc00" stroked="false">
              <v:fill type="solid"/>
            </v:rect>
            <v:rect style="position:absolute;left:8791;top:3012;width:65;height:68" filled="false" stroked="true" strokeweight=".547763pt" strokecolor="#000000">
              <v:stroke dashstyle="solid"/>
            </v:rect>
            <v:rect style="position:absolute;left:8791;top:3230;width:65;height:68" filled="true" fillcolor="#0065cc" stroked="false">
              <v:fill type="solid"/>
            </v:rect>
            <v:rect style="position:absolute;left:8791;top:3230;width:65;height:68" filled="false" stroked="true" strokeweight=".547763pt" strokecolor="#000000">
              <v:stroke dashstyle="solid"/>
            </v:rect>
            <v:rect style="position:absolute;left:8791;top:3460;width:65;height:68" filled="true" fillcolor="#ffffcc" stroked="false">
              <v:fill type="solid"/>
            </v:rect>
            <v:rect style="position:absolute;left:8791;top:3460;width:65;height:68" filled="false" stroked="true" strokeweight=".547762pt" strokecolor="#000000">
              <v:stroke dashstyle="solid"/>
            </v:rect>
            <v:rect style="position:absolute;left:8791;top:3691;width:65;height:65" filled="true" fillcolor="#9999ff" stroked="false">
              <v:fill type="solid"/>
            </v:rect>
            <v:rect style="position:absolute;left:8791;top:3691;width:65;height:65" filled="false" stroked="true" strokeweight=".547739pt" strokecolor="#000000">
              <v:stroke dashstyle="solid"/>
            </v:rect>
            <v:rect style="position:absolute;left:2085;top:712;width:8055;height:3987" filled="false" stroked="true" strokeweight=".12pt" strokecolor="#000000">
              <v:stroke dashstyle="solid"/>
            </v:rect>
            <v:shape style="position:absolute;left:4118;top:849;width:4026;height:402" type="#_x0000_t202" filled="false" stroked="false">
              <v:textbox inset="0,0,0,0">
                <w:txbxContent>
                  <w:p>
                    <w:pPr>
                      <w:spacing w:line="183" w:lineRule="exact" w:before="0"/>
                      <w:ind w:left="-1" w:right="18" w:firstLine="0"/>
                      <w:jc w:val="center"/>
                      <w:rPr>
                        <w:rFonts w:ascii="Arial" w:hAnsi="Arial"/>
                        <w:b/>
                        <w:sz w:val="16"/>
                      </w:rPr>
                    </w:pPr>
                    <w:r>
                      <w:rPr>
                        <w:rFonts w:ascii="Arial" w:hAnsi="Arial"/>
                        <w:b/>
                        <w:w w:val="105"/>
                        <w:sz w:val="16"/>
                      </w:rPr>
                      <w:t>Generación</w:t>
                    </w:r>
                    <w:r>
                      <w:rPr>
                        <w:rFonts w:ascii="Arial" w:hAnsi="Arial"/>
                        <w:b/>
                        <w:spacing w:val="-20"/>
                        <w:w w:val="105"/>
                        <w:sz w:val="16"/>
                      </w:rPr>
                      <w:t> </w:t>
                    </w:r>
                    <w:r>
                      <w:rPr>
                        <w:rFonts w:ascii="Arial" w:hAnsi="Arial"/>
                        <w:b/>
                        <w:w w:val="105"/>
                        <w:sz w:val="16"/>
                      </w:rPr>
                      <w:t>de</w:t>
                    </w:r>
                    <w:r>
                      <w:rPr>
                        <w:rFonts w:ascii="Arial" w:hAnsi="Arial"/>
                        <w:b/>
                        <w:spacing w:val="-14"/>
                        <w:w w:val="105"/>
                        <w:sz w:val="16"/>
                      </w:rPr>
                      <w:t> </w:t>
                    </w:r>
                    <w:r>
                      <w:rPr>
                        <w:rFonts w:ascii="Arial" w:hAnsi="Arial"/>
                        <w:b/>
                        <w:w w:val="105"/>
                        <w:sz w:val="16"/>
                      </w:rPr>
                      <w:t>Energía</w:t>
                    </w:r>
                    <w:r>
                      <w:rPr>
                        <w:rFonts w:ascii="Arial" w:hAnsi="Arial"/>
                        <w:b/>
                        <w:spacing w:val="-20"/>
                        <w:w w:val="105"/>
                        <w:sz w:val="16"/>
                      </w:rPr>
                      <w:t> </w:t>
                    </w:r>
                    <w:r>
                      <w:rPr>
                        <w:rFonts w:ascii="Arial" w:hAnsi="Arial"/>
                        <w:b/>
                        <w:w w:val="105"/>
                        <w:sz w:val="16"/>
                      </w:rPr>
                      <w:t>Renovable</w:t>
                    </w:r>
                    <w:r>
                      <w:rPr>
                        <w:rFonts w:ascii="Arial" w:hAnsi="Arial"/>
                        <w:b/>
                        <w:spacing w:val="-13"/>
                        <w:w w:val="105"/>
                        <w:sz w:val="16"/>
                      </w:rPr>
                      <w:t> </w:t>
                    </w:r>
                    <w:r>
                      <w:rPr>
                        <w:rFonts w:ascii="Arial" w:hAnsi="Arial"/>
                        <w:b/>
                        <w:w w:val="105"/>
                        <w:sz w:val="16"/>
                      </w:rPr>
                      <w:t>-</w:t>
                    </w:r>
                    <w:r>
                      <w:rPr>
                        <w:rFonts w:ascii="Arial" w:hAnsi="Arial"/>
                        <w:b/>
                        <w:spacing w:val="-18"/>
                        <w:w w:val="105"/>
                        <w:sz w:val="16"/>
                      </w:rPr>
                      <w:t> </w:t>
                    </w:r>
                    <w:r>
                      <w:rPr>
                        <w:rFonts w:ascii="Arial" w:hAnsi="Arial"/>
                        <w:b/>
                        <w:w w:val="105"/>
                        <w:sz w:val="16"/>
                      </w:rPr>
                      <w:t>Escenario</w:t>
                    </w:r>
                    <w:r>
                      <w:rPr>
                        <w:rFonts w:ascii="Arial" w:hAnsi="Arial"/>
                        <w:b/>
                        <w:spacing w:val="-20"/>
                        <w:w w:val="105"/>
                        <w:sz w:val="16"/>
                      </w:rPr>
                      <w:t> </w:t>
                    </w:r>
                    <w:r>
                      <w:rPr>
                        <w:rFonts w:ascii="Arial" w:hAnsi="Arial"/>
                        <w:b/>
                        <w:w w:val="105"/>
                        <w:sz w:val="16"/>
                      </w:rPr>
                      <w:t>Bajo</w:t>
                    </w:r>
                  </w:p>
                  <w:p>
                    <w:pPr>
                      <w:spacing w:before="34"/>
                      <w:ind w:left="1" w:right="18" w:firstLine="0"/>
                      <w:jc w:val="center"/>
                      <w:rPr>
                        <w:rFonts w:ascii="Arial"/>
                        <w:b/>
                        <w:sz w:val="16"/>
                      </w:rPr>
                    </w:pPr>
                    <w:r>
                      <w:rPr>
                        <w:rFonts w:ascii="Arial"/>
                        <w:b/>
                        <w:w w:val="105"/>
                        <w:sz w:val="16"/>
                      </w:rPr>
                      <w:t>2008-2020</w:t>
                    </w:r>
                  </w:p>
                </w:txbxContent>
              </v:textbox>
              <w10:wrap type="none"/>
            </v:shape>
            <v:shape style="position:absolute;left:2472;top:1319;width:284;height:135" type="#_x0000_t202" filled="false" stroked="false">
              <v:textbox inset="0,0,0,0">
                <w:txbxContent>
                  <w:p>
                    <w:pPr>
                      <w:spacing w:line="134" w:lineRule="exact" w:before="0"/>
                      <w:ind w:left="0" w:right="0" w:firstLine="0"/>
                      <w:jc w:val="left"/>
                      <w:rPr>
                        <w:rFonts w:ascii="Arial"/>
                        <w:sz w:val="12"/>
                      </w:rPr>
                    </w:pPr>
                    <w:r>
                      <w:rPr>
                        <w:rFonts w:ascii="Arial"/>
                        <w:sz w:val="12"/>
                      </w:rPr>
                      <w:t>5000</w:t>
                    </w:r>
                  </w:p>
                </w:txbxContent>
              </v:textbox>
              <w10:wrap type="none"/>
            </v:shape>
            <v:shape style="position:absolute;left:2472;top:1897;width:284;height:135" type="#_x0000_t202" filled="false" stroked="false">
              <v:textbox inset="0,0,0,0">
                <w:txbxContent>
                  <w:p>
                    <w:pPr>
                      <w:spacing w:line="134" w:lineRule="exact" w:before="0"/>
                      <w:ind w:left="0" w:right="0" w:firstLine="0"/>
                      <w:jc w:val="left"/>
                      <w:rPr>
                        <w:rFonts w:ascii="Arial"/>
                        <w:sz w:val="12"/>
                      </w:rPr>
                    </w:pPr>
                    <w:r>
                      <w:rPr>
                        <w:rFonts w:ascii="Arial"/>
                        <w:sz w:val="12"/>
                      </w:rPr>
                      <w:t>4000</w:t>
                    </w:r>
                  </w:p>
                </w:txbxContent>
              </v:textbox>
              <w10:wrap type="none"/>
            </v:shape>
            <v:shape style="position:absolute;left:2472;top:2478;width:284;height:135" type="#_x0000_t202" filled="false" stroked="false">
              <v:textbox inset="0,0,0,0">
                <w:txbxContent>
                  <w:p>
                    <w:pPr>
                      <w:spacing w:line="134" w:lineRule="exact" w:before="0"/>
                      <w:ind w:left="0" w:right="0" w:firstLine="0"/>
                      <w:jc w:val="left"/>
                      <w:rPr>
                        <w:rFonts w:ascii="Arial"/>
                        <w:sz w:val="12"/>
                      </w:rPr>
                    </w:pPr>
                    <w:r>
                      <w:rPr>
                        <w:rFonts w:ascii="Arial"/>
                        <w:sz w:val="12"/>
                      </w:rPr>
                      <w:t>3000</w:t>
                    </w:r>
                  </w:p>
                </w:txbxContent>
              </v:textbox>
              <w10:wrap type="none"/>
            </v:shape>
            <v:shape style="position:absolute;left:2472;top:3047;width:284;height:135" type="#_x0000_t202" filled="false" stroked="false">
              <v:textbox inset="0,0,0,0">
                <w:txbxContent>
                  <w:p>
                    <w:pPr>
                      <w:spacing w:line="134" w:lineRule="exact" w:before="0"/>
                      <w:ind w:left="0" w:right="0" w:firstLine="0"/>
                      <w:jc w:val="left"/>
                      <w:rPr>
                        <w:rFonts w:ascii="Arial"/>
                        <w:sz w:val="12"/>
                      </w:rPr>
                    </w:pPr>
                    <w:r>
                      <w:rPr>
                        <w:rFonts w:ascii="Arial"/>
                        <w:sz w:val="12"/>
                      </w:rPr>
                      <w:t>2000</w:t>
                    </w:r>
                  </w:p>
                </w:txbxContent>
              </v:textbox>
              <w10:wrap type="none"/>
            </v:shape>
            <v:shape style="position:absolute;left:2472;top:3627;width:284;height:135" type="#_x0000_t202" filled="false" stroked="false">
              <v:textbox inset="0,0,0,0">
                <w:txbxContent>
                  <w:p>
                    <w:pPr>
                      <w:spacing w:line="134" w:lineRule="exact" w:before="0"/>
                      <w:ind w:left="0" w:right="0" w:firstLine="0"/>
                      <w:jc w:val="left"/>
                      <w:rPr>
                        <w:rFonts w:ascii="Arial"/>
                        <w:sz w:val="12"/>
                      </w:rPr>
                    </w:pPr>
                    <w:r>
                      <w:rPr>
                        <w:rFonts w:ascii="Arial"/>
                        <w:sz w:val="12"/>
                      </w:rPr>
                      <w:t>1000</w:t>
                    </w:r>
                  </w:p>
                </w:txbxContent>
              </v:textbox>
              <w10:wrap type="none"/>
            </v:shape>
            <v:shape style="position:absolute;left:2668;top:4208;width:88;height:135" type="#_x0000_t202" filled="false" stroked="false">
              <v:textbox inset="0,0,0,0">
                <w:txbxContent>
                  <w:p>
                    <w:pPr>
                      <w:spacing w:line="134" w:lineRule="exact" w:before="0"/>
                      <w:ind w:left="0" w:right="0" w:firstLine="0"/>
                      <w:jc w:val="left"/>
                      <w:rPr>
                        <w:rFonts w:ascii="Arial"/>
                        <w:sz w:val="12"/>
                      </w:rPr>
                    </w:pPr>
                    <w:r>
                      <w:rPr>
                        <w:rFonts w:ascii="Arial"/>
                        <w:w w:val="100"/>
                        <w:sz w:val="12"/>
                      </w:rPr>
                      <w:t>0</w:t>
                    </w:r>
                  </w:p>
                </w:txbxContent>
              </v:textbox>
              <w10:wrap type="none"/>
            </v:shape>
            <v:shape style="position:absolute;left:2899;top:4383;width:5574;height:135" type="#_x0000_t202" filled="false" stroked="false">
              <v:textbox inset="0,0,0,0">
                <w:txbxContent>
                  <w:p>
                    <w:pPr>
                      <w:spacing w:line="134" w:lineRule="exact" w:before="0"/>
                      <w:ind w:left="0" w:right="0" w:firstLine="0"/>
                      <w:jc w:val="left"/>
                      <w:rPr>
                        <w:rFonts w:ascii="Arial"/>
                        <w:sz w:val="12"/>
                      </w:rPr>
                    </w:pPr>
                    <w:r>
                      <w:rPr>
                        <w:rFonts w:ascii="Arial"/>
                        <w:sz w:val="12"/>
                      </w:rPr>
                      <w:t>2007 2008 2009 2010 2011 2012 2013 2014 2015 2016 2017 2018 2019 2020</w:t>
                    </w:r>
                  </w:p>
                </w:txbxContent>
              </v:textbox>
              <w10:wrap type="none"/>
            </v:shape>
            <v:shape style="position:absolute;left:8647;top:2016;width:1493;height:1851" type="#_x0000_t202" filled="false" stroked="true" strokeweight=".12pt" strokecolor="#000000">
              <v:textbox inset="0,0,0,0">
                <w:txbxContent>
                  <w:p>
                    <w:pPr>
                      <w:spacing w:line="400" w:lineRule="auto" w:before="30"/>
                      <w:ind w:left="253" w:right="188" w:firstLine="0"/>
                      <w:jc w:val="left"/>
                      <w:rPr>
                        <w:rFonts w:ascii="Arial" w:hAnsi="Arial"/>
                        <w:sz w:val="12"/>
                      </w:rPr>
                    </w:pPr>
                    <w:r>
                      <w:rPr>
                        <w:rFonts w:ascii="Arial" w:hAnsi="Arial"/>
                        <w:spacing w:val="-5"/>
                        <w:sz w:val="12"/>
                      </w:rPr>
                      <w:t>SFV </w:t>
                    </w:r>
                    <w:r>
                      <w:rPr>
                        <w:rFonts w:ascii="Arial" w:hAnsi="Arial"/>
                        <w:sz w:val="12"/>
                      </w:rPr>
                      <w:t>-  Aislados </w:t>
                    </w:r>
                    <w:r>
                      <w:rPr>
                        <w:rFonts w:ascii="Arial" w:hAnsi="Arial"/>
                        <w:spacing w:val="-9"/>
                        <w:sz w:val="12"/>
                      </w:rPr>
                      <w:t>PCH </w:t>
                    </w:r>
                    <w:r>
                      <w:rPr>
                        <w:rFonts w:ascii="Arial" w:hAnsi="Arial"/>
                        <w:sz w:val="12"/>
                      </w:rPr>
                      <w:t>- Aislados Cogeneración </w:t>
                    </w:r>
                    <w:r>
                      <w:rPr>
                        <w:rFonts w:ascii="Arial" w:hAnsi="Arial"/>
                        <w:spacing w:val="-3"/>
                        <w:sz w:val="12"/>
                      </w:rPr>
                      <w:t>arroz Solar</w:t>
                    </w:r>
                    <w:r>
                      <w:rPr>
                        <w:rFonts w:ascii="Arial" w:hAnsi="Arial"/>
                        <w:spacing w:val="3"/>
                        <w:sz w:val="12"/>
                      </w:rPr>
                      <w:t> </w:t>
                    </w:r>
                    <w:r>
                      <w:rPr>
                        <w:rFonts w:ascii="Arial" w:hAnsi="Arial"/>
                        <w:spacing w:val="-3"/>
                        <w:sz w:val="12"/>
                      </w:rPr>
                      <w:t>Térmico</w:t>
                    </w:r>
                  </w:p>
                  <w:p>
                    <w:pPr>
                      <w:spacing w:line="393" w:lineRule="auto" w:before="0"/>
                      <w:ind w:left="253" w:right="142" w:firstLine="0"/>
                      <w:jc w:val="left"/>
                      <w:rPr>
                        <w:rFonts w:ascii="Arial" w:hAnsi="Arial"/>
                        <w:sz w:val="12"/>
                      </w:rPr>
                    </w:pPr>
                    <w:r>
                      <w:rPr>
                        <w:rFonts w:ascii="Arial" w:hAnsi="Arial"/>
                        <w:spacing w:val="-3"/>
                        <w:sz w:val="12"/>
                      </w:rPr>
                      <w:t>Biomasa </w:t>
                    </w:r>
                    <w:r>
                      <w:rPr>
                        <w:rFonts w:ascii="Arial" w:hAnsi="Arial"/>
                        <w:sz w:val="12"/>
                      </w:rPr>
                      <w:t>- Desechos </w:t>
                    </w:r>
                    <w:r>
                      <w:rPr>
                        <w:rFonts w:ascii="Arial" w:hAnsi="Arial"/>
                        <w:spacing w:val="-4"/>
                        <w:sz w:val="12"/>
                      </w:rPr>
                      <w:t>Cogen </w:t>
                    </w:r>
                    <w:r>
                      <w:rPr>
                        <w:rFonts w:ascii="Arial" w:hAnsi="Arial"/>
                        <w:spacing w:val="2"/>
                        <w:sz w:val="12"/>
                      </w:rPr>
                      <w:t>Azucar </w:t>
                    </w:r>
                    <w:r>
                      <w:rPr>
                        <w:rFonts w:ascii="Arial" w:hAnsi="Arial"/>
                        <w:spacing w:val="-4"/>
                        <w:sz w:val="12"/>
                      </w:rPr>
                      <w:t>Cogen </w:t>
                    </w:r>
                    <w:r>
                      <w:rPr>
                        <w:rFonts w:ascii="Arial" w:hAnsi="Arial"/>
                        <w:sz w:val="12"/>
                      </w:rPr>
                      <w:t>Alcohol </w:t>
                    </w:r>
                    <w:r>
                      <w:rPr>
                        <w:rFonts w:ascii="Arial" w:hAnsi="Arial"/>
                        <w:spacing w:val="-5"/>
                        <w:sz w:val="12"/>
                      </w:rPr>
                      <w:t>Energía</w:t>
                    </w:r>
                    <w:r>
                      <w:rPr>
                        <w:rFonts w:ascii="Arial" w:hAnsi="Arial"/>
                        <w:spacing w:val="-3"/>
                        <w:sz w:val="12"/>
                      </w:rPr>
                      <w:t> </w:t>
                    </w:r>
                    <w:r>
                      <w:rPr>
                        <w:rFonts w:ascii="Arial" w:hAnsi="Arial"/>
                        <w:spacing w:val="-4"/>
                        <w:sz w:val="12"/>
                      </w:rPr>
                      <w:t>Eólica</w:t>
                    </w:r>
                  </w:p>
                </w:txbxContent>
              </v:textbox>
              <v:stroke dashstyle="solid"/>
              <w10:wrap type="none"/>
            </v:shape>
            <w10:wrap type="none"/>
          </v:group>
        </w:pict>
      </w:r>
      <w:r>
        <w:rPr/>
        <w:pict>
          <v:shape style="position:absolute;margin-left:111.749626pt;margin-top:127.439514pt;width:8.75pt;height:28.65pt;mso-position-horizontal-relative:page;mso-position-vertical-relative:paragraph;z-index:15773184" type="#_x0000_t202" filled="false" stroked="false">
            <v:textbox inset="0,0,0,0" style="layout-flow:vertical;mso-layout-flow-alt:bottom-to-top">
              <w:txbxContent>
                <w:p>
                  <w:pPr>
                    <w:spacing w:before="16"/>
                    <w:ind w:left="20" w:right="0" w:firstLine="0"/>
                    <w:jc w:val="left"/>
                    <w:rPr>
                      <w:rFonts w:ascii="Arial" w:hAnsi="Arial"/>
                      <w:b/>
                      <w:sz w:val="12"/>
                    </w:rPr>
                  </w:pPr>
                  <w:r>
                    <w:rPr>
                      <w:rFonts w:ascii="Arial" w:hAnsi="Arial"/>
                      <w:b/>
                      <w:sz w:val="12"/>
                    </w:rPr>
                    <w:t>GWh/año</w:t>
                  </w:r>
                </w:p>
              </w:txbxContent>
            </v:textbox>
            <w10:wrap type="none"/>
          </v:shape>
        </w:pict>
      </w:r>
      <w:r>
        <w:rPr>
          <w:rFonts w:ascii="Verdana" w:hAnsi="Verdana"/>
        </w:rPr>
        <w:t>Gráfico 2.4 - Generación de energía eléctrica renovable – Escenario bajo, 2008-2020</w:t>
      </w: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spacing w:before="11"/>
        <w:rPr>
          <w:rFonts w:ascii="Verdana"/>
          <w:b/>
          <w:sz w:val="28"/>
        </w:rPr>
      </w:pPr>
    </w:p>
    <w:p>
      <w:pPr>
        <w:spacing w:before="0"/>
        <w:ind w:left="647" w:right="0" w:firstLine="0"/>
        <w:jc w:val="left"/>
        <w:rPr>
          <w:b/>
          <w:sz w:val="20"/>
        </w:rPr>
      </w:pPr>
      <w:r>
        <w:rPr>
          <w:sz w:val="20"/>
        </w:rPr>
        <w:t>Fuente: </w:t>
      </w:r>
      <w:r>
        <w:rPr>
          <w:b/>
          <w:sz w:val="20"/>
        </w:rPr>
        <w:t>DIAGNÓSTICO Y DEFINICIÓN DE LÍNEAS ESTRATÉGICAS DEL SUBSECTOR</w:t>
      </w:r>
    </w:p>
    <w:p>
      <w:pPr>
        <w:spacing w:before="1"/>
        <w:ind w:left="647" w:right="315" w:firstLine="0"/>
        <w:jc w:val="left"/>
        <w:rPr>
          <w:sz w:val="20"/>
        </w:rPr>
      </w:pPr>
      <w:r>
        <w:rPr>
          <w:b/>
          <w:sz w:val="20"/>
        </w:rPr>
        <w:t>FUENTES DE ENERGÍA NUEVAS Y RENOVABLES (FENR), </w:t>
      </w:r>
      <w:r>
        <w:rPr>
          <w:sz w:val="20"/>
        </w:rPr>
        <w:t>Humberto Rodríguez M, Enero de 2008.</w:t>
      </w:r>
    </w:p>
    <w:p>
      <w:pPr>
        <w:pStyle w:val="BodyText"/>
        <w:rPr>
          <w:sz w:val="24"/>
        </w:rPr>
      </w:pPr>
    </w:p>
    <w:p>
      <w:pPr>
        <w:pStyle w:val="BodyText"/>
        <w:spacing w:before="4"/>
        <w:rPr>
          <w:sz w:val="22"/>
        </w:rPr>
      </w:pPr>
    </w:p>
    <w:p>
      <w:pPr>
        <w:pStyle w:val="Heading3"/>
        <w:ind w:left="1299"/>
        <w:rPr>
          <w:i/>
        </w:rPr>
      </w:pPr>
      <w:bookmarkStart w:name="_TOC_250085" w:id="14"/>
      <w:bookmarkEnd w:id="14"/>
      <w:r>
        <w:rPr>
          <w:i/>
          <w:w w:val="110"/>
        </w:rPr>
        <w:t>Escenario Alto</w:t>
      </w:r>
    </w:p>
    <w:p>
      <w:pPr>
        <w:pStyle w:val="BodyText"/>
        <w:spacing w:before="2"/>
        <w:rPr>
          <w:rFonts w:ascii="Times New Roman"/>
          <w:b/>
          <w:i/>
          <w:sz w:val="24"/>
        </w:rPr>
      </w:pPr>
    </w:p>
    <w:p>
      <w:pPr>
        <w:pStyle w:val="BodyText"/>
        <w:ind w:left="219" w:right="214"/>
        <w:jc w:val="both"/>
      </w:pPr>
      <w:r>
        <w:rPr/>
        <w:t>En el escenario alto se alcanzaría un desplazamiento de la generación de energía eléctrica por las FER cercano al 24%. Este desplazamiento de energía eléctrica se ha calculado bajo los mismos supuestos del escenario bajo, excepto para la cogeneración:</w:t>
      </w:r>
    </w:p>
    <w:p>
      <w:pPr>
        <w:pStyle w:val="BodyText"/>
        <w:spacing w:before="5"/>
        <w:rPr>
          <w:sz w:val="22"/>
        </w:rPr>
      </w:pPr>
    </w:p>
    <w:p>
      <w:pPr>
        <w:pStyle w:val="Heading8"/>
        <w:numPr>
          <w:ilvl w:val="1"/>
          <w:numId w:val="16"/>
        </w:numPr>
        <w:tabs>
          <w:tab w:pos="940" w:val="left" w:leader="none"/>
        </w:tabs>
        <w:spacing w:line="288" w:lineRule="exact" w:before="0" w:after="0"/>
        <w:ind w:left="940" w:right="0" w:hanging="360"/>
        <w:jc w:val="both"/>
        <w:rPr>
          <w:u w:val="none"/>
        </w:rPr>
      </w:pPr>
      <w:r>
        <w:rPr>
          <w:u w:val="single"/>
        </w:rPr>
        <w:t>Cogeneración en plantas</w:t>
      </w:r>
      <w:r>
        <w:rPr>
          <w:spacing w:val="-13"/>
          <w:u w:val="single"/>
        </w:rPr>
        <w:t> </w:t>
      </w:r>
      <w:r>
        <w:rPr>
          <w:u w:val="single"/>
        </w:rPr>
        <w:t>etanol</w:t>
      </w:r>
    </w:p>
    <w:p>
      <w:pPr>
        <w:pStyle w:val="BodyText"/>
        <w:ind w:left="927" w:right="214"/>
        <w:jc w:val="both"/>
      </w:pPr>
      <w:r>
        <w:rPr/>
        <w:t>Esta generación de electricidad depende del incremento de la producción de caña de azucarera para la producción de alcohol en el escenario alto. Se espera alcanzar 129,935 ha de caña de azúcar cultivadas para el 2012, se ha supuesto que el desarrollo es gradual a partir del 2009 y que las destilerías de alcohol generarían 183 GWh/año de excedentes inyectables a la red del SENI. Para estimar esta cifra, se ha partido de un excedente de 92 KWh/t caña procesada en las destilerías. Para el año 2020 se espera alcanzar 700,000 ha de cultivos de caña de azúcar para así generar en esa fecha 2470 GWh/año.</w:t>
      </w:r>
    </w:p>
    <w:p>
      <w:pPr>
        <w:pStyle w:val="BodyText"/>
        <w:spacing w:before="2"/>
        <w:rPr>
          <w:sz w:val="22"/>
        </w:rPr>
      </w:pPr>
    </w:p>
    <w:p>
      <w:pPr>
        <w:pStyle w:val="Heading8"/>
        <w:numPr>
          <w:ilvl w:val="1"/>
          <w:numId w:val="16"/>
        </w:numPr>
        <w:tabs>
          <w:tab w:pos="940" w:val="left" w:leader="none"/>
        </w:tabs>
        <w:spacing w:line="288" w:lineRule="exact" w:before="0" w:after="0"/>
        <w:ind w:left="940" w:right="0" w:hanging="361"/>
        <w:jc w:val="both"/>
        <w:rPr>
          <w:u w:val="none"/>
        </w:rPr>
      </w:pPr>
      <w:r>
        <w:rPr>
          <w:u w:val="single"/>
        </w:rPr>
        <w:t>Cogeneración de los ingenios</w:t>
      </w:r>
      <w:r>
        <w:rPr>
          <w:spacing w:val="-21"/>
          <w:u w:val="single"/>
        </w:rPr>
        <w:t> </w:t>
      </w:r>
      <w:r>
        <w:rPr>
          <w:u w:val="single"/>
        </w:rPr>
        <w:t>azucareros</w:t>
      </w:r>
    </w:p>
    <w:p>
      <w:pPr>
        <w:pStyle w:val="BodyText"/>
        <w:ind w:left="927" w:right="214"/>
        <w:jc w:val="both"/>
      </w:pPr>
      <w:r>
        <w:rPr/>
        <w:t>En el escenario alto se espera que los cultivos de caña en la industria azucarera aumenten a una razón de 2% anual iniciando en 2006 con 125,000 ha y llegando a 164,935 ha en 2020; la cogeneración en este año alcanzaría los 349 GWh/año para inyectarlos al SENI.</w:t>
      </w:r>
    </w:p>
    <w:p>
      <w:pPr>
        <w:spacing w:after="0"/>
        <w:jc w:val="both"/>
        <w:sectPr>
          <w:pgSz w:w="12240" w:h="15840"/>
          <w:pgMar w:header="718" w:footer="954" w:top="1500" w:bottom="1140" w:left="1220" w:right="1220"/>
        </w:sectPr>
      </w:pPr>
    </w:p>
    <w:p>
      <w:pPr>
        <w:pStyle w:val="BodyText"/>
        <w:spacing w:before="113"/>
        <w:ind w:left="219" w:right="215"/>
        <w:jc w:val="both"/>
      </w:pPr>
      <w:r>
        <w:rPr/>
        <w:t>El gráfico siguiente muestra la generación con energía renovable desde el 2007 hasta el 2020. En la figura se observa que la energía renovable de mayor penetración en la generación de electricidad sería la energía eólica.</w:t>
      </w:r>
    </w:p>
    <w:p>
      <w:pPr>
        <w:pStyle w:val="BodyText"/>
        <w:spacing w:before="4"/>
      </w:pPr>
    </w:p>
    <w:p>
      <w:pPr>
        <w:pStyle w:val="Heading9"/>
        <w:ind w:left="4189" w:right="134" w:hanging="3970"/>
        <w:rPr>
          <w:rFonts w:ascii="Verdana" w:hAnsi="Verdana"/>
        </w:rPr>
      </w:pPr>
      <w:r>
        <w:rPr/>
        <w:pict>
          <v:group style="position:absolute;margin-left:92.459999pt;margin-top:30.821516pt;width:426.5pt;height:211pt;mso-position-horizontal-relative:page;mso-position-vertical-relative:paragraph;z-index:15776256" coordorigin="1849,616" coordsize="8530,4220">
            <v:rect style="position:absolute;left:1850;top:617;width:8528;height:4217" filled="false" stroked="true" strokeweight=".12pt" strokecolor="#000000">
              <v:stroke dashstyle="solid"/>
            </v:rect>
            <v:rect style="position:absolute;left:2628;top:1347;width:6041;height:3048" filled="true" fillcolor="#c0c0c0" stroked="false">
              <v:fill type="solid"/>
            </v:rect>
            <v:shape style="position:absolute;left:2628;top:3953;width:6041;height:2" coordorigin="2628,3954" coordsize="6041,0" path="m2628,3954l4486,3954m4661,3954l4918,3954m5090,3954l5347,3954m5520,3954l5777,3954m5950,3954l6206,3954m6379,3954l6636,3954m6811,3954l7066,3954m7250,3954l7507,3954m7682,3954l7937,3954m8112,3954l8366,3954m8542,3954l8669,3954e" filled="false" stroked="true" strokeweight=".12pt" strokecolor="#000000">
              <v:path arrowok="t"/>
              <v:stroke dashstyle="solid"/>
            </v:shape>
            <v:shape style="position:absolute;left:2628;top:3526;width:6041;height:2" coordorigin="2628,3526" coordsize="6041,0" path="m2628,3526l4918,3526m5090,3526l5347,3526m5520,3526l5777,3526m5950,3526l6206,3526m6379,3526l6636,3526m6811,3526l7066,3526m7250,3526l7507,3526m7682,3526l7937,3526m8112,3526l8366,3526m8542,3526l8669,3526e" filled="false" stroked="true" strokeweight=".12pt" strokecolor="#000000">
              <v:path arrowok="t"/>
              <v:stroke dashstyle="solid"/>
            </v:shape>
            <v:shape style="position:absolute;left:2628;top:3084;width:6041;height:2" coordorigin="2628,3085" coordsize="6041,0" path="m2628,3085l5347,3085m5520,3085l5777,3085m5950,3085l6206,3085m6379,3085l6636,3085m6811,3085l7066,3085m7250,3085l7507,3085m7682,3085l7937,3085m8112,3085l8366,3085m8542,3085l8669,3085e" filled="false" stroked="true" strokeweight=".12pt" strokecolor="#000000">
              <v:path arrowok="t"/>
              <v:stroke dashstyle="solid"/>
            </v:shape>
            <v:shape style="position:absolute;left:2628;top:2657;width:6041;height:2" coordorigin="2628,2658" coordsize="6041,0" path="m2628,2658l6636,2658m6811,2658l7066,2658m7250,2658l7507,2658m7682,2658l7937,2658m8112,2658l8366,2658m8542,2658l8669,2658e" filled="false" stroked="true" strokeweight=".12pt" strokecolor="#000000">
              <v:path arrowok="t"/>
              <v:stroke dashstyle="solid"/>
            </v:shape>
            <v:shape style="position:absolute;left:2628;top:2216;width:6041;height:2" coordorigin="2628,2216" coordsize="6041,0" path="m2628,2216l7507,2216m7682,2216l7937,2216m8112,2216l8366,2216m8542,2216l8669,2216e" filled="false" stroked="true" strokeweight=".12pt" strokecolor="#000000">
              <v:path arrowok="t"/>
              <v:stroke dashstyle="solid"/>
            </v:shape>
            <v:shape style="position:absolute;left:2628;top:1786;width:6041;height:2" coordorigin="2628,1786" coordsize="6041,0" path="m2628,1786l8366,1786m8542,1786l8669,1786e" filled="false" stroked="true" strokeweight=".12pt" strokecolor="#000000">
              <v:path arrowok="t"/>
              <v:stroke dashstyle="solid"/>
            </v:shape>
            <v:line style="position:absolute" from="2628,1347" to="8669,1347" stroked="true" strokeweight=".12pt" strokecolor="#000000">
              <v:stroke dashstyle="solid"/>
            </v:line>
            <v:shape style="position:absolute;left:2628;top:1347;width:6041;height:3048" coordorigin="2628,1347" coordsize="6041,3048" path="m2628,1347l8669,1347m8669,1347l8669,4395e" filled="false" stroked="true" strokeweight=".580080pt" strokecolor="#7f7f7f">
              <v:path arrowok="t"/>
              <v:stroke dashstyle="solid"/>
            </v:shape>
            <v:shape style="position:absolute;left:2628;top:4392;width:6041;height:6" coordorigin="2628,4392" coordsize="6041,6" path="m2628,4392l3614,4392m3790,4392l4486,4392m4661,4392l4918,4392m5090,4392l5347,4392m5520,4392l5777,4392m5950,4392l6206,4392m6379,4392l6636,4392m6811,4392l7066,4392m7250,4392l7507,4392m7682,4392l7937,4392m8112,4392l8366,4392m8542,4392l8669,4392m2628,4398l8669,4398e" filled="false" stroked="true" strokeweight=".28935pt" strokecolor="#7f7f7f">
              <v:path arrowok="t"/>
              <v:stroke dashstyle="solid"/>
            </v:shape>
            <v:line style="position:absolute" from="2628,4395" to="2628,1347" stroked="true" strokeweight=".580799pt" strokecolor="#7f7f7f">
              <v:stroke dashstyle="solid"/>
            </v:line>
            <v:rect style="position:absolute;left:4046;top:4244;width:185;height:152" filled="true" fillcolor="#9999ff" stroked="false">
              <v:fill type="solid"/>
            </v:rect>
            <v:rect style="position:absolute;left:4046;top:4244;width:185;height:152" filled="false" stroked="true" strokeweight=".579937pt" strokecolor="#000000">
              <v:stroke dashstyle="solid"/>
            </v:rect>
            <v:rect style="position:absolute;left:4485;top:4035;width:176;height:360" filled="true" fillcolor="#9999ff" stroked="false">
              <v:fill type="solid"/>
            </v:rect>
            <v:rect style="position:absolute;left:4485;top:4035;width:176;height:360" filled="false" stroked="true" strokeweight=".580524pt" strokecolor="#000000">
              <v:stroke dashstyle="solid"/>
            </v:rect>
            <v:rect style="position:absolute;left:4917;top:3756;width:173;height:639" filled="true" fillcolor="#9999ff" stroked="false">
              <v:fill type="solid"/>
            </v:rect>
            <v:rect style="position:absolute;left:4917;top:3756;width:173;height:639" filled="false" stroked="true" strokeweight=".580701pt" strokecolor="#000000">
              <v:stroke dashstyle="solid"/>
            </v:rect>
            <v:rect style="position:absolute;left:5347;top:3617;width:173;height:778" filled="true" fillcolor="#9999ff" stroked="false">
              <v:fill type="solid"/>
            </v:rect>
            <v:rect style="position:absolute;left:5347;top:3617;width:173;height:778" filled="false" stroked="true" strokeweight=".580732pt" strokecolor="#000000">
              <v:stroke dashstyle="solid"/>
            </v:rect>
            <v:rect style="position:absolute;left:5776;top:3548;width:173;height:848" filled="true" fillcolor="#9999ff" stroked="false">
              <v:fill type="solid"/>
            </v:rect>
            <v:rect style="position:absolute;left:5776;top:3548;width:173;height:848" filled="false" stroked="true" strokeweight=".580742pt" strokecolor="#000000">
              <v:stroke dashstyle="solid"/>
            </v:rect>
            <v:rect style="position:absolute;left:6206;top:3478;width:173;height:917" filled="true" fillcolor="#9999ff" stroked="false">
              <v:fill type="solid"/>
            </v:rect>
            <v:rect style="position:absolute;left:6206;top:3478;width:173;height:917" filled="false" stroked="true" strokeweight=".58075pt" strokecolor="#000000">
              <v:stroke dashstyle="solid"/>
            </v:rect>
            <v:rect style="position:absolute;left:6636;top:3420;width:176;height:975" filled="true" fillcolor="#9999ff" stroked="false">
              <v:fill type="solid"/>
            </v:rect>
            <v:rect style="position:absolute;left:6635;top:3420;width:176;height:975" filled="false" stroked="true" strokeweight=".580754pt" strokecolor="#000000">
              <v:stroke dashstyle="solid"/>
            </v:rect>
            <v:rect style="position:absolute;left:7065;top:3351;width:185;height:1044" filled="true" fillcolor="#9999ff" stroked="false">
              <v:fill type="solid"/>
            </v:rect>
            <v:rect style="position:absolute;left:7065;top:3351;width:185;height:1044" filled="false" stroked="true" strokeweight=".580756pt" strokecolor="#000000">
              <v:stroke dashstyle="solid"/>
            </v:rect>
            <v:rect style="position:absolute;left:7507;top:3293;width:176;height:1102" filled="true" fillcolor="#9999ff" stroked="false">
              <v:fill type="solid"/>
            </v:rect>
            <v:rect style="position:absolute;left:7507;top:3293;width:176;height:1102" filled="false" stroked="true" strokeweight=".580764pt" strokecolor="#000000">
              <v:stroke dashstyle="solid"/>
            </v:rect>
            <v:rect style="position:absolute;left:7936;top:3224;width:176;height:1172" filled="true" fillcolor="#9999ff" stroked="false">
              <v:fill type="solid"/>
            </v:rect>
            <v:rect style="position:absolute;left:7936;top:3224;width:176;height:1172" filled="false" stroked="true" strokeweight=".580768pt" strokecolor="#000000">
              <v:stroke dashstyle="solid"/>
            </v:rect>
            <v:rect style="position:absolute;left:8366;top:3154;width:176;height:1241" filled="true" fillcolor="#9999ff" stroked="false">
              <v:fill type="solid"/>
            </v:rect>
            <v:rect style="position:absolute;left:8366;top:3154;width:176;height:1241" filled="false" stroked="true" strokeweight=".580771pt" strokecolor="#000000">
              <v:stroke dashstyle="solid"/>
            </v:rect>
            <v:rect style="position:absolute;left:3614;top:4313;width:176;height:82" filled="true" fillcolor="#ffffcc" stroked="false">
              <v:fill type="solid"/>
            </v:rect>
            <v:rect style="position:absolute;left:3614;top:4313;width:176;height:82" filled="false" stroked="true" strokeweight=".579617pt" strokecolor="#000000">
              <v:stroke dashstyle="solid"/>
            </v:rect>
            <v:rect style="position:absolute;left:4046;top:4128;width:185;height:116" filled="true" fillcolor="#ffffcc" stroked="false">
              <v:fill type="solid"/>
            </v:rect>
            <v:rect style="position:absolute;left:4046;top:4128;width:185;height:116" filled="false" stroked="true" strokeweight=".579763pt" strokecolor="#000000">
              <v:stroke dashstyle="solid"/>
            </v:rect>
            <v:rect style="position:absolute;left:4485;top:3874;width:176;height:161" filled="true" fillcolor="#ffffcc" stroked="false">
              <v:fill type="solid"/>
            </v:rect>
            <v:rect style="position:absolute;left:4485;top:3874;width:176;height:161" filled="false" stroked="true" strokeweight=".580018pt" strokecolor="#000000">
              <v:stroke dashstyle="solid"/>
            </v:rect>
            <v:rect style="position:absolute;left:4917;top:3560;width:173;height:197" filled="true" fillcolor="#ffffcc" stroked="false">
              <v:fill type="solid"/>
            </v:rect>
            <v:rect style="position:absolute;left:4917;top:3560;width:173;height:197" filled="false" stroked="true" strokeweight=".580173pt" strokecolor="#000000">
              <v:stroke dashstyle="solid"/>
            </v:rect>
            <v:rect style="position:absolute;left:5347;top:3305;width:173;height:312" filled="true" fillcolor="#ffffcc" stroked="false">
              <v:fill type="solid"/>
            </v:rect>
            <v:rect style="position:absolute;left:5347;top:3305;width:173;height:312" filled="false" stroked="true" strokeweight=".580461pt" strokecolor="#000000">
              <v:stroke dashstyle="solid"/>
            </v:rect>
            <v:rect style="position:absolute;left:5776;top:3130;width:173;height:418" filled="true" fillcolor="#ffffcc" stroked="false">
              <v:fill type="solid"/>
            </v:rect>
            <v:rect style="position:absolute;left:5776;top:3130;width:173;height:418" filled="false" stroked="true" strokeweight=".580589pt" strokecolor="#000000">
              <v:stroke dashstyle="solid"/>
            </v:rect>
            <v:rect style="position:absolute;left:6206;top:2957;width:173;height:521" filled="true" fillcolor="#ffffcc" stroked="false">
              <v:fill type="solid"/>
            </v:rect>
            <v:rect style="position:absolute;left:6206;top:2957;width:173;height:521" filled="false" stroked="true" strokeweight=".580657pt" strokecolor="#000000">
              <v:stroke dashstyle="solid"/>
            </v:rect>
            <v:rect style="position:absolute;left:6636;top:2784;width:176;height:636" filled="true" fillcolor="#ffffcc" stroked="false">
              <v:fill type="solid"/>
            </v:rect>
            <v:rect style="position:absolute;left:6635;top:2784;width:176;height:636" filled="false" stroked="true" strokeweight=".580698pt" strokecolor="#000000">
              <v:stroke dashstyle="solid"/>
            </v:rect>
            <v:rect style="position:absolute;left:7065;top:2609;width:185;height:742" filled="true" fillcolor="#ffffcc" stroked="false">
              <v:fill type="solid"/>
            </v:rect>
            <v:rect style="position:absolute;left:7065;top:2609;width:185;height:742" filled="false" stroked="true" strokeweight=".580715pt" strokecolor="#000000">
              <v:stroke dashstyle="solid"/>
            </v:rect>
            <v:rect style="position:absolute;left:7507;top:2436;width:176;height:857" filled="true" fillcolor="#ffffcc" stroked="false">
              <v:fill type="solid"/>
            </v:rect>
            <v:rect style="position:absolute;left:7507;top:2436;width:176;height:857" filled="false" stroked="true" strokeweight=".580742pt" strokecolor="#000000">
              <v:stroke dashstyle="solid"/>
            </v:rect>
            <v:rect style="position:absolute;left:7936;top:2261;width:176;height:963" filled="true" fillcolor="#ffffcc" stroked="false">
              <v:fill type="solid"/>
            </v:rect>
            <v:rect style="position:absolute;left:7936;top:2261;width:176;height:963" filled="false" stroked="true" strokeweight=".580753pt" strokecolor="#000000">
              <v:stroke dashstyle="solid"/>
            </v:rect>
            <v:rect style="position:absolute;left:8366;top:2088;width:176;height:1066" filled="true" fillcolor="#ffffcc" stroked="false">
              <v:fill type="solid"/>
            </v:rect>
            <v:rect style="position:absolute;left:8366;top:2088;width:176;height:1066" filled="false" stroked="true" strokeweight=".580761pt" strokecolor="#000000">
              <v:stroke dashstyle="solid"/>
            </v:rect>
            <v:rect style="position:absolute;left:4046;top:4092;width:185;height:36" filled="true" fillcolor="#0065cc" stroked="false">
              <v:fill type="solid"/>
            </v:rect>
            <v:rect style="position:absolute;left:4046;top:4092;width:185;height:36" filled="false" stroked="true" strokeweight=".579413pt" strokecolor="#000000">
              <v:stroke dashstyle="solid"/>
            </v:rect>
            <v:rect style="position:absolute;left:4485;top:3792;width:176;height:82" filled="true" fillcolor="#0065cc" stroked="false">
              <v:fill type="solid"/>
            </v:rect>
            <v:rect style="position:absolute;left:4485;top:3792;width:176;height:82" filled="false" stroked="true" strokeweight=".579617pt" strokecolor="#000000">
              <v:stroke dashstyle="solid"/>
            </v:rect>
            <v:rect style="position:absolute;left:4917;top:3432;width:173;height:128" filled="true" fillcolor="#0065cc" stroked="false">
              <v:fill type="solid"/>
            </v:rect>
            <v:rect style="position:absolute;left:4917;top:3432;width:173;height:128" filled="false" stroked="true" strokeweight=".579866pt" strokecolor="#000000">
              <v:stroke dashstyle="solid"/>
            </v:rect>
            <v:rect style="position:absolute;left:5347;top:3178;width:173;height:128" filled="true" fillcolor="#0065cc" stroked="false">
              <v:fill type="solid"/>
            </v:rect>
            <v:rect style="position:absolute;left:5347;top:3178;width:173;height:128" filled="false" stroked="true" strokeweight=".579866pt" strokecolor="#000000">
              <v:stroke dashstyle="solid"/>
            </v:rect>
            <v:rect style="position:absolute;left:5776;top:2993;width:173;height:137" filled="true" fillcolor="#0065cc" stroked="false">
              <v:fill type="solid"/>
            </v:rect>
            <v:rect style="position:absolute;left:5776;top:2993;width:173;height:137" filled="false" stroked="true" strokeweight=".579915pt" strokecolor="#000000">
              <v:stroke dashstyle="solid"/>
            </v:rect>
            <v:rect style="position:absolute;left:6206;top:2818;width:173;height:140" filled="true" fillcolor="#0065cc" stroked="false">
              <v:fill type="solid"/>
            </v:rect>
            <v:rect style="position:absolute;left:6206;top:2818;width:173;height:140" filled="false" stroked="true" strokeweight=".579926pt" strokecolor="#000000">
              <v:stroke dashstyle="solid"/>
            </v:rect>
            <v:rect style="position:absolute;left:6636;top:2645;width:176;height:140" filled="true" fillcolor="#0065cc" stroked="false">
              <v:fill type="solid"/>
            </v:rect>
            <v:rect style="position:absolute;left:6635;top:2645;width:176;height:140" filled="false" stroked="true" strokeweight=".579917pt" strokecolor="#000000">
              <v:stroke dashstyle="solid"/>
            </v:rect>
            <v:rect style="position:absolute;left:7065;top:2458;width:185;height:152" filled="true" fillcolor="#0065cc" stroked="false">
              <v:fill type="solid"/>
            </v:rect>
            <v:rect style="position:absolute;left:7065;top:2458;width:185;height:152" filled="false" stroked="true" strokeweight=".579937pt" strokecolor="#000000">
              <v:stroke dashstyle="solid"/>
            </v:rect>
            <v:rect style="position:absolute;left:7507;top:2285;width:176;height:152" filled="true" fillcolor="#0065cc" stroked="false">
              <v:fill type="solid"/>
            </v:rect>
            <v:rect style="position:absolute;left:7507;top:2285;width:176;height:152" filled="false" stroked="true" strokeweight=".579974pt" strokecolor="#000000">
              <v:stroke dashstyle="solid"/>
            </v:rect>
            <v:rect style="position:absolute;left:7936;top:2112;width:176;height:149" filled="true" fillcolor="#0065cc" stroked="false">
              <v:fill type="solid"/>
            </v:rect>
            <v:rect style="position:absolute;left:7936;top:2112;width:176;height:149" filled="false" stroked="true" strokeweight=".579963pt" strokecolor="#000000">
              <v:stroke dashstyle="solid"/>
            </v:rect>
            <v:rect style="position:absolute;left:8366;top:1937;width:176;height:152" filled="true" fillcolor="#0065cc" stroked="false">
              <v:fill type="solid"/>
            </v:rect>
            <v:rect style="position:absolute;left:8366;top:1937;width:176;height:152" filled="false" stroked="true" strokeweight=".579974pt" strokecolor="#000000">
              <v:stroke dashstyle="solid"/>
            </v:rect>
            <v:rect style="position:absolute;left:4046;top:4047;width:185;height:46" filled="true" fillcolor="#ffcc00" stroked="false">
              <v:fill type="solid"/>
            </v:rect>
            <v:rect style="position:absolute;left:4046;top:4047;width:185;height:46" filled="false" stroked="true" strokeweight=".579443pt" strokecolor="#000000">
              <v:stroke dashstyle="solid"/>
            </v:rect>
            <v:rect style="position:absolute;left:4485;top:3675;width:176;height:118" filled="true" fillcolor="#ffcc00" stroked="false">
              <v:fill type="solid"/>
            </v:rect>
            <v:rect style="position:absolute;left:4485;top:3675;width:176;height:118" filled="false" stroked="true" strokeweight=".579807pt" strokecolor="#000000">
              <v:stroke dashstyle="solid"/>
            </v:rect>
            <v:rect style="position:absolute;left:4917;top:3269;width:173;height:164" filled="true" fillcolor="#ffcc00" stroked="false">
              <v:fill type="solid"/>
            </v:rect>
            <v:rect style="position:absolute;left:4917;top:3269;width:173;height:164" filled="false" stroked="true" strokeweight=".580039pt" strokecolor="#000000">
              <v:stroke dashstyle="solid"/>
            </v:rect>
            <v:rect style="position:absolute;left:5347;top:3015;width:173;height:164" filled="true" fillcolor="#ffcc00" stroked="false">
              <v:fill type="solid"/>
            </v:rect>
            <v:rect style="position:absolute;left:5347;top:3015;width:173;height:164" filled="false" stroked="true" strokeweight=".580039pt" strokecolor="#000000">
              <v:stroke dashstyle="solid"/>
            </v:rect>
            <v:rect style="position:absolute;left:5776;top:2842;width:173;height:152" filled="true" fillcolor="#ffcc00" stroked="false">
              <v:fill type="solid"/>
            </v:rect>
            <v:rect style="position:absolute;left:5776;top:2842;width:173;height:152" filled="false" stroked="true" strokeweight=".579984pt" strokecolor="#000000">
              <v:stroke dashstyle="solid"/>
            </v:rect>
            <v:rect style="position:absolute;left:6206;top:2667;width:173;height:152" filled="true" fillcolor="#ffcc00" stroked="false">
              <v:fill type="solid"/>
            </v:rect>
            <v:rect style="position:absolute;left:6206;top:2667;width:173;height:152" filled="false" stroked="true" strokeweight=".579984pt" strokecolor="#000000">
              <v:stroke dashstyle="solid"/>
            </v:rect>
            <v:rect style="position:absolute;left:6636;top:2494;width:176;height:152" filled="true" fillcolor="#ffcc00" stroked="false">
              <v:fill type="solid"/>
            </v:rect>
            <v:rect style="position:absolute;left:6635;top:2494;width:176;height:152" filled="false" stroked="true" strokeweight=".579974pt" strokecolor="#000000">
              <v:stroke dashstyle="solid"/>
            </v:rect>
            <v:rect style="position:absolute;left:7065;top:2309;width:185;height:149" filled="true" fillcolor="#ffcc00" stroked="false">
              <v:fill type="solid"/>
            </v:rect>
            <v:rect style="position:absolute;left:7065;top:2309;width:185;height:149" filled="false" stroked="true" strokeweight=".579926pt" strokecolor="#000000">
              <v:stroke dashstyle="solid"/>
            </v:rect>
            <v:rect style="position:absolute;left:7507;top:2134;width:176;height:152" filled="true" fillcolor="#ffcc00" stroked="false">
              <v:fill type="solid"/>
            </v:rect>
            <v:rect style="position:absolute;left:7507;top:2134;width:176;height:152" filled="false" stroked="true" strokeweight=".579974pt" strokecolor="#000000">
              <v:stroke dashstyle="solid"/>
            </v:rect>
            <v:rect style="position:absolute;left:7936;top:1961;width:176;height:152" filled="true" fillcolor="#ffcc00" stroked="false">
              <v:fill type="solid"/>
            </v:rect>
            <v:rect style="position:absolute;left:7936;top:1961;width:176;height:152" filled="false" stroked="true" strokeweight=".579974pt" strokecolor="#000000">
              <v:stroke dashstyle="solid"/>
            </v:rect>
            <v:rect style="position:absolute;left:8366;top:1776;width:176;height:161" filled="true" fillcolor="#ffcc00" stroked="false">
              <v:fill type="solid"/>
            </v:rect>
            <v:rect style="position:absolute;left:8366;top:1776;width:176;height:161" filled="false" stroked="true" strokeweight=".580018pt" strokecolor="#000000">
              <v:stroke dashstyle="solid"/>
            </v:rect>
            <v:rect style="position:absolute;left:2755;top:4383;width:176;height:12" filled="true" fillcolor="#ff7f7f" stroked="false">
              <v:fill type="solid"/>
            </v:rect>
            <v:rect style="position:absolute;left:2755;top:4383;width:176;height:12" filled="false" stroked="true" strokeweight=".579367pt" strokecolor="#000000">
              <v:stroke dashstyle="solid"/>
            </v:rect>
            <v:rect style="position:absolute;left:3184;top:4383;width:176;height:12" filled="true" fillcolor="#ff7f7f" stroked="false">
              <v:fill type="solid"/>
            </v:rect>
            <v:rect style="position:absolute;left:3184;top:4383;width:176;height:12" filled="false" stroked="true" strokeweight=".579367pt" strokecolor="#000000">
              <v:stroke dashstyle="solid"/>
            </v:rect>
            <v:rect style="position:absolute;left:3614;top:4289;width:176;height:24" filled="true" fillcolor="#ff7f7f" stroked="false">
              <v:fill type="solid"/>
            </v:rect>
            <v:rect style="position:absolute;left:3614;top:4289;width:176;height:24" filled="false" stroked="true" strokeweight=".579387pt" strokecolor="#000000">
              <v:stroke dashstyle="solid"/>
            </v:rect>
            <v:rect style="position:absolute;left:4046;top:4023;width:185;height:24" filled="true" fillcolor="#ff7f7f" stroked="false">
              <v:fill type="solid"/>
            </v:rect>
            <v:rect style="position:absolute;left:4046;top:4023;width:185;height:25" filled="false" stroked="true" strokeweight=".579384pt" strokecolor="#000000">
              <v:stroke dashstyle="solid"/>
            </v:rect>
            <v:rect style="position:absolute;left:4485;top:3641;width:176;height:34" filled="true" fillcolor="#ff7f7f" stroked="false">
              <v:fill type="solid"/>
            </v:rect>
            <v:rect style="position:absolute;left:4485;top:3641;width:176;height:34" filled="false" stroked="true" strokeweight=".579411pt" strokecolor="#000000">
              <v:stroke dashstyle="solid"/>
            </v:rect>
            <v:rect style="position:absolute;left:4917;top:3236;width:173;height:34" filled="true" fillcolor="#ff7f7f" stroked="false">
              <v:fill type="solid"/>
            </v:rect>
            <v:rect style="position:absolute;left:4917;top:3236;width:173;height:34" filled="false" stroked="true" strokeweight=".579413pt" strokecolor="#000000">
              <v:stroke dashstyle="solid"/>
            </v:rect>
            <v:rect style="position:absolute;left:5347;top:2969;width:173;height:46" filled="true" fillcolor="#ff7f7f" stroked="false">
              <v:fill type="solid"/>
            </v:rect>
            <v:rect style="position:absolute;left:5347;top:2969;width:173;height:46" filled="false" stroked="true" strokeweight=".579454pt" strokecolor="#000000">
              <v:stroke dashstyle="solid"/>
            </v:rect>
            <v:rect style="position:absolute;left:5776;top:2784;width:173;height:58" filled="true" fillcolor="#ff7f7f" stroked="false">
              <v:fill type="solid"/>
            </v:rect>
            <v:rect style="position:absolute;left:5776;top:2784;width:173;height:58" filled="false" stroked="true" strokeweight=".579504pt" strokecolor="#000000">
              <v:stroke dashstyle="solid"/>
            </v:rect>
            <v:rect style="position:absolute;left:6206;top:2597;width:173;height:70" filled="true" fillcolor="#ff7f7f" stroked="false">
              <v:fill type="solid"/>
            </v:rect>
            <v:rect style="position:absolute;left:6206;top:2597;width:173;height:70" filled="false" stroked="true" strokeweight=".579561pt" strokecolor="#000000">
              <v:stroke dashstyle="solid"/>
            </v:rect>
            <v:rect style="position:absolute;left:6636;top:2424;width:176;height:70" filled="true" fillcolor="#ff7f7f" stroked="false">
              <v:fill type="solid"/>
            </v:rect>
            <v:rect style="position:absolute;left:6635;top:2424;width:176;height:70" filled="false" stroked="true" strokeweight=".579556pt" strokecolor="#000000">
              <v:stroke dashstyle="solid"/>
            </v:rect>
            <v:rect style="position:absolute;left:7065;top:2240;width:185;height:70" filled="true" fillcolor="#ff7f7f" stroked="false">
              <v:fill type="solid"/>
            </v:rect>
            <v:rect style="position:absolute;left:7065;top:2240;width:185;height:70" filled="false" stroked="true" strokeweight=".579539pt" strokecolor="#000000">
              <v:stroke dashstyle="solid"/>
            </v:rect>
            <v:rect style="position:absolute;left:7507;top:2052;width:176;height:82" filled="true" fillcolor="#ff7f7f" stroked="false">
              <v:fill type="solid"/>
            </v:rect>
            <v:rect style="position:absolute;left:7507;top:2052;width:176;height:82" filled="false" stroked="true" strokeweight=".579617pt" strokecolor="#000000">
              <v:stroke dashstyle="solid"/>
            </v:rect>
            <v:rect style="position:absolute;left:7936;top:1868;width:176;height:94" filled="true" fillcolor="#ff7f7f" stroked="false">
              <v:fill type="solid"/>
            </v:rect>
            <v:rect style="position:absolute;left:7936;top:1868;width:176;height:94" filled="false" stroked="true" strokeweight=".57968pt" strokecolor="#000000">
              <v:stroke dashstyle="solid"/>
            </v:rect>
            <v:rect style="position:absolute;left:8366;top:1683;width:176;height:94" filled="true" fillcolor="#ff7f7f" stroked="false">
              <v:fill type="solid"/>
            </v:rect>
            <v:rect style="position:absolute;left:8366;top:1683;width:176;height:94" filled="false" stroked="true" strokeweight=".57968pt" strokecolor="#000000">
              <v:stroke dashstyle="solid"/>
            </v:rect>
            <v:rect style="position:absolute;left:4046;top:4011;width:185;height:12" filled="true" fillcolor="#329965" stroked="false">
              <v:fill type="solid"/>
            </v:rect>
            <v:rect style="position:absolute;left:4046;top:4011;width:185;height:12" filled="false" stroked="true" strokeweight=".579366pt" strokecolor="#000000">
              <v:stroke dashstyle="solid"/>
            </v:rect>
            <v:rect style="position:absolute;left:4485;top:3629;width:176;height:12" filled="true" fillcolor="#329965" stroked="false">
              <v:fill type="solid"/>
            </v:rect>
            <v:rect style="position:absolute;left:4485;top:3629;width:176;height:12" filled="false" stroked="true" strokeweight=".579367pt" strokecolor="#000000">
              <v:stroke dashstyle="solid"/>
            </v:rect>
            <v:rect style="position:absolute;left:4917;top:3212;width:173;height:24" filled="true" fillcolor="#329965" stroked="false">
              <v:fill type="solid"/>
            </v:rect>
            <v:rect style="position:absolute;left:4917;top:3212;width:173;height:25" filled="false" stroked="true" strokeweight=".579387pt" strokecolor="#000000">
              <v:stroke dashstyle="solid"/>
            </v:rect>
            <v:rect style="position:absolute;left:5347;top:2945;width:173;height:24" filled="true" fillcolor="#329965" stroked="false">
              <v:fill type="solid"/>
            </v:rect>
            <v:rect style="position:absolute;left:5347;top:2945;width:173;height:24" filled="false" stroked="true" strokeweight=".579387pt" strokecolor="#000000">
              <v:stroke dashstyle="solid"/>
            </v:rect>
            <v:rect style="position:absolute;left:5776;top:2760;width:173;height:24" filled="true" fillcolor="#329965" stroked="false">
              <v:fill type="solid"/>
            </v:rect>
            <v:rect style="position:absolute;left:5776;top:2760;width:173;height:24" filled="false" stroked="true" strokeweight=".579387pt" strokecolor="#000000">
              <v:stroke dashstyle="solid"/>
            </v:rect>
            <v:rect style="position:absolute;left:6206;top:2576;width:173;height:22" filled="true" fillcolor="#329965" stroked="false">
              <v:fill type="solid"/>
            </v:rect>
            <v:rect style="position:absolute;left:6206;top:2576;width:173;height:22" filled="false" stroked="true" strokeweight=".579382pt" strokecolor="#000000">
              <v:stroke dashstyle="solid"/>
            </v:rect>
            <v:rect style="position:absolute;left:6636;top:2388;width:176;height:36" filled="true" fillcolor="#329965" stroked="false">
              <v:fill type="solid"/>
            </v:rect>
            <v:rect style="position:absolute;left:6635;top:2388;width:176;height:36" filled="false" stroked="true" strokeweight=".579418pt" strokecolor="#000000">
              <v:stroke dashstyle="solid"/>
            </v:rect>
            <v:rect style="position:absolute;left:7065;top:2204;width:185;height:36" filled="true" fillcolor="#329965" stroked="false">
              <v:fill type="solid"/>
            </v:rect>
            <v:rect style="position:absolute;left:7065;top:2204;width:185;height:36" filled="false" stroked="true" strokeweight=".579413pt" strokecolor="#000000">
              <v:stroke dashstyle="solid"/>
            </v:rect>
            <v:rect style="position:absolute;left:7507;top:2019;width:176;height:34" filled="true" fillcolor="#329965" stroked="false">
              <v:fill type="solid"/>
            </v:rect>
            <v:rect style="position:absolute;left:7507;top:2019;width:176;height:34" filled="false" stroked="true" strokeweight=".579411pt" strokecolor="#000000">
              <v:stroke dashstyle="solid"/>
            </v:rect>
            <v:rect style="position:absolute;left:7936;top:1834;width:176;height:34" filled="true" fillcolor="#329965" stroked="false">
              <v:fill type="solid"/>
            </v:rect>
            <v:rect style="position:absolute;left:7936;top:1834;width:176;height:34" filled="false" stroked="true" strokeweight=".579411pt" strokecolor="#000000">
              <v:stroke dashstyle="solid"/>
            </v:rect>
            <v:rect style="position:absolute;left:8366;top:1647;width:176;height:36" filled="true" fillcolor="#329965" stroked="false">
              <v:fill type="solid"/>
            </v:rect>
            <v:rect style="position:absolute;left:8366;top:1647;width:176;height:36" filled="false" stroked="true" strokeweight=".579418pt" strokecolor="#000000">
              <v:stroke dashstyle="solid"/>
            </v:rect>
            <v:rect style="position:absolute;left:3184;top:4371;width:176;height:12" filled="true" fillcolor="#650065" stroked="false">
              <v:fill type="solid"/>
            </v:rect>
            <v:rect style="position:absolute;left:3184;top:4371;width:176;height:12" filled="false" stroked="true" strokeweight=".579367pt" strokecolor="#000000">
              <v:stroke dashstyle="solid"/>
            </v:rect>
            <v:rect style="position:absolute;left:3614;top:4280;width:176;height:10" filled="true" fillcolor="#650065" stroked="false">
              <v:fill type="solid"/>
            </v:rect>
            <v:rect style="position:absolute;left:3614;top:4280;width:176;height:10" filled="false" stroked="true" strokeweight=".579364pt" strokecolor="#000000">
              <v:stroke dashstyle="solid"/>
            </v:rect>
            <v:rect style="position:absolute;left:4046;top:4001;width:185;height:10" filled="true" fillcolor="#650065" stroked="false">
              <v:fill type="solid"/>
            </v:rect>
            <v:rect style="position:absolute;left:4046;top:4001;width:185;height:10" filled="false" stroked="true" strokeweight=".579364pt" strokecolor="#000000">
              <v:stroke dashstyle="solid"/>
            </v:rect>
            <v:rect style="position:absolute;left:4485;top:3605;width:176;height:24" filled="true" fillcolor="#650065" stroked="false">
              <v:fill type="solid"/>
            </v:rect>
            <v:rect style="position:absolute;left:4485;top:3605;width:176;height:24" filled="false" stroked="true" strokeweight=".579387pt" strokecolor="#000000">
              <v:stroke dashstyle="solid"/>
            </v:rect>
            <v:rect style="position:absolute;left:4917;top:3190;width:173;height:22" filled="true" fillcolor="#650065" stroked="false">
              <v:fill type="solid"/>
            </v:rect>
            <v:rect style="position:absolute;left:4917;top:3190;width:173;height:22" filled="false" stroked="true" strokeweight=".579382pt" strokecolor="#000000">
              <v:stroke dashstyle="solid"/>
            </v:rect>
            <v:rect style="position:absolute;left:5347;top:2924;width:173;height:22" filled="true" fillcolor="#650065" stroked="false">
              <v:fill type="solid"/>
            </v:rect>
            <v:rect style="position:absolute;left:5347;top:2924;width:173;height:22" filled="false" stroked="true" strokeweight=".579382pt" strokecolor="#000000">
              <v:stroke dashstyle="solid"/>
            </v:rect>
            <v:rect style="position:absolute;left:5776;top:2736;width:173;height:24" filled="true" fillcolor="#650065" stroked="false">
              <v:fill type="solid"/>
            </v:rect>
            <v:rect style="position:absolute;left:5776;top:2736;width:173;height:24" filled="false" stroked="true" strokeweight=".579387pt" strokecolor="#000000">
              <v:stroke dashstyle="solid"/>
            </v:rect>
            <v:rect style="position:absolute;left:6206;top:2552;width:173;height:24" filled="true" fillcolor="#650065" stroked="false">
              <v:fill type="solid"/>
            </v:rect>
            <v:rect style="position:absolute;left:6206;top:2552;width:173;height:24" filled="false" stroked="true" strokeweight=".579387pt" strokecolor="#000000">
              <v:stroke dashstyle="solid"/>
            </v:rect>
            <v:rect style="position:absolute;left:6636;top:2367;width:176;height:22" filled="true" fillcolor="#650065" stroked="false">
              <v:fill type="solid"/>
            </v:rect>
            <v:rect style="position:absolute;left:6635;top:2367;width:176;height:22" filled="false" stroked="true" strokeweight=".579382pt" strokecolor="#000000">
              <v:stroke dashstyle="solid"/>
            </v:rect>
            <v:rect style="position:absolute;left:7065;top:2182;width:185;height:22" filled="true" fillcolor="#650065" stroked="false">
              <v:fill type="solid"/>
            </v:rect>
            <v:rect style="position:absolute;left:7065;top:2182;width:185;height:22" filled="false" stroked="true" strokeweight=".57938pt" strokecolor="#000000">
              <v:stroke dashstyle="solid"/>
            </v:rect>
            <v:rect style="position:absolute;left:7507;top:1995;width:176;height:24" filled="true" fillcolor="#650065" stroked="false">
              <v:fill type="solid"/>
            </v:rect>
            <v:rect style="position:absolute;left:7507;top:1995;width:176;height:25" filled="false" stroked="true" strokeweight=".579387pt" strokecolor="#000000">
              <v:stroke dashstyle="solid"/>
            </v:rect>
            <v:rect style="position:absolute;left:7936;top:1798;width:176;height:36" filled="true" fillcolor="#650065" stroked="false">
              <v:fill type="solid"/>
            </v:rect>
            <v:rect style="position:absolute;left:7936;top:1798;width:176;height:36" filled="false" stroked="true" strokeweight=".579418pt" strokecolor="#000000">
              <v:stroke dashstyle="solid"/>
            </v:rect>
            <v:rect style="position:absolute;left:8366;top:1625;width:176;height:22" filled="true" fillcolor="#650065" stroked="false">
              <v:fill type="solid"/>
            </v:rect>
            <v:rect style="position:absolute;left:8366;top:1625;width:176;height:22" filled="false" stroked="true" strokeweight=".579382pt" strokecolor="#000000">
              <v:stroke dashstyle="solid"/>
            </v:rect>
            <v:rect style="position:absolute;left:4046;top:3989;width:185;height:12" filled="true" fillcolor="#ccffff" stroked="false">
              <v:fill type="solid"/>
            </v:rect>
            <v:rect style="position:absolute;left:4046;top:3989;width:185;height:12" filled="false" stroked="true" strokeweight=".579366pt" strokecolor="#000000">
              <v:stroke dashstyle="solid"/>
            </v:rect>
            <v:rect style="position:absolute;left:4485;top:3596;width:176;height:10" filled="true" fillcolor="#ccffff" stroked="false">
              <v:fill type="solid"/>
            </v:rect>
            <v:rect style="position:absolute;left:4485;top:3596;width:176;height:10" filled="false" stroked="true" strokeweight=".579364pt" strokecolor="#000000">
              <v:stroke dashstyle="solid"/>
            </v:rect>
            <v:rect style="position:absolute;left:6206;top:2540;width:173;height:12" filled="true" fillcolor="#ccffff" stroked="false">
              <v:fill type="solid"/>
            </v:rect>
            <v:rect style="position:absolute;left:6206;top:2540;width:173;height:12" filled="false" stroked="true" strokeweight=".579367pt" strokecolor="#000000">
              <v:stroke dashstyle="solid"/>
            </v:rect>
            <v:rect style="position:absolute;left:6636;top:2355;width:176;height:12" filled="true" fillcolor="#ccffff" stroked="false">
              <v:fill type="solid"/>
            </v:rect>
            <v:rect style="position:absolute;left:6635;top:2355;width:176;height:12" filled="false" stroked="true" strokeweight=".579367pt" strokecolor="#000000">
              <v:stroke dashstyle="solid"/>
            </v:rect>
            <v:rect style="position:absolute;left:7065;top:2170;width:185;height:12" filled="true" fillcolor="#ccffff" stroked="false">
              <v:fill type="solid"/>
            </v:rect>
            <v:rect style="position:absolute;left:7065;top:2170;width:185;height:12" filled="false" stroked="true" strokeweight=".579366pt" strokecolor="#000000">
              <v:stroke dashstyle="solid"/>
            </v:rect>
            <v:rect style="position:absolute;left:7507;top:1983;width:176;height:12" filled="true" fillcolor="#ccffff" stroked="false">
              <v:fill type="solid"/>
            </v:rect>
            <v:rect style="position:absolute;left:7507;top:1983;width:176;height:12" filled="false" stroked="true" strokeweight=".579367pt" strokecolor="#000000">
              <v:stroke dashstyle="solid"/>
            </v:rect>
            <v:rect style="position:absolute;left:8366;top:1613;width:176;height:12" filled="true" fillcolor="#ccffff" stroked="false">
              <v:fill type="solid"/>
            </v:rect>
            <v:rect style="position:absolute;left:8366;top:1613;width:176;height:12" filled="false" stroked="true" strokeweight=".579367pt" strokecolor="#000000">
              <v:stroke dashstyle="solid"/>
            </v:rect>
            <v:shape style="position:absolute;left:2594;top:1347;width:7724;height:3082" coordorigin="2594,1347" coordsize="7724,3082" path="m2628,1347l2628,4395m2594,4395l2628,4395m2594,3954l2628,3954m2594,3526l2628,3526m2594,3085l2628,3085m2594,2658l2628,2658m2594,2216l2628,2216m2594,1786l2628,1786m2594,1347l2628,1347m2628,4395l8669,4395m2628,4429l2628,4395m3058,4429l3058,4395m3487,4429l3487,4395m3917,4429l3917,4395m4358,4429l4358,4395m4788,4429l4788,4395m5218,4429l5218,4395m5650,4429l5650,4395m6079,4429l6079,4395m6509,4429l6509,4395m6938,4429l6938,4395m7380,4429l7380,4395m7810,4429l7810,4395m8239,4429l8239,4395m8669,4429l8669,4395m8784,3966l10318,3966,10318,2007,8784,2007,8784,3966xe" filled="false" stroked="true" strokeweight=".12pt" strokecolor="#000000">
              <v:path arrowok="t"/>
              <v:stroke dashstyle="solid"/>
            </v:shape>
            <v:rect style="position:absolute;left:8935;top:2088;width:70;height:70" filled="true" fillcolor="#ccffff" stroked="false">
              <v:fill type="solid"/>
            </v:rect>
            <v:rect style="position:absolute;left:8935;top:2088;width:70;height:70" filled="false" stroked="true" strokeweight=".580080pt" strokecolor="#000000">
              <v:stroke dashstyle="solid"/>
            </v:rect>
            <v:rect style="position:absolute;left:8935;top:2331;width:70;height:70" filled="true" fillcolor="#650065" stroked="false">
              <v:fill type="solid"/>
            </v:rect>
            <v:rect style="position:absolute;left:8935;top:2331;width:70;height:70" filled="false" stroked="true" strokeweight=".580079pt" strokecolor="#000000">
              <v:stroke dashstyle="solid"/>
            </v:rect>
            <v:rect style="position:absolute;left:8935;top:2576;width:70;height:70" filled="true" fillcolor="#329965" stroked="false">
              <v:fill type="solid"/>
            </v:rect>
            <v:rect style="position:absolute;left:8935;top:2576;width:70;height:70" filled="false" stroked="true" strokeweight=".580080pt" strokecolor="#000000">
              <v:stroke dashstyle="solid"/>
            </v:rect>
            <v:rect style="position:absolute;left:8935;top:2818;width:70;height:70" filled="true" fillcolor="#ff7f7f" stroked="false">
              <v:fill type="solid"/>
            </v:rect>
            <v:rect style="position:absolute;left:8935;top:2818;width:70;height:70" filled="false" stroked="true" strokeweight=".580080pt" strokecolor="#000000">
              <v:stroke dashstyle="solid"/>
            </v:rect>
            <v:rect style="position:absolute;left:8935;top:3063;width:70;height:68" filled="true" fillcolor="#ffcc00" stroked="false">
              <v:fill type="solid"/>
            </v:rect>
            <v:rect style="position:absolute;left:8935;top:3063;width:70;height:68" filled="false" stroked="true" strokeweight=".580054pt" strokecolor="#000000">
              <v:stroke dashstyle="solid"/>
            </v:rect>
            <v:rect style="position:absolute;left:8935;top:3293;width:70;height:70" filled="true" fillcolor="#0065cc" stroked="false">
              <v:fill type="solid"/>
            </v:rect>
            <v:rect style="position:absolute;left:8935;top:3293;width:70;height:70" filled="false" stroked="true" strokeweight=".580079pt" strokecolor="#000000">
              <v:stroke dashstyle="solid"/>
            </v:rect>
            <v:rect style="position:absolute;left:8935;top:3536;width:70;height:70" filled="true" fillcolor="#ffffcc" stroked="false">
              <v:fill type="solid"/>
            </v:rect>
            <v:rect style="position:absolute;left:8935;top:3536;width:70;height:70" filled="false" stroked="true" strokeweight=".580080pt" strokecolor="#000000">
              <v:stroke dashstyle="solid"/>
            </v:rect>
            <v:rect style="position:absolute;left:8935;top:3780;width:70;height:70" filled="true" fillcolor="#9999ff" stroked="false">
              <v:fill type="solid"/>
            </v:rect>
            <v:rect style="position:absolute;left:8935;top:3780;width:70;height:70" filled="false" stroked="true" strokeweight=".580079pt" strokecolor="#000000">
              <v:stroke dashstyle="solid"/>
            </v:rect>
            <v:rect style="position:absolute;left:1850;top:617;width:8528;height:4217" filled="false" stroked="true" strokeweight=".12pt" strokecolor="#000000">
              <v:stroke dashstyle="solid"/>
            </v:rect>
            <v:shape style="position:absolute;left:2258;top:760;width:7659;height:1670" type="#_x0000_t202" filled="false" stroked="false">
              <v:textbox inset="0,0,0,0">
                <w:txbxContent>
                  <w:p>
                    <w:pPr>
                      <w:spacing w:line="285" w:lineRule="auto" w:before="0"/>
                      <w:ind w:left="3460" w:right="1708" w:hanging="1697"/>
                      <w:jc w:val="left"/>
                      <w:rPr>
                        <w:rFonts w:ascii="Arial" w:hAnsi="Arial"/>
                        <w:b/>
                        <w:sz w:val="17"/>
                      </w:rPr>
                    </w:pPr>
                    <w:r>
                      <w:rPr>
                        <w:rFonts w:ascii="Arial" w:hAnsi="Arial"/>
                        <w:b/>
                        <w:sz w:val="17"/>
                      </w:rPr>
                      <w:t>Generación de Energía Renovable - Escenario Alto 2008-2020</w:t>
                    </w:r>
                  </w:p>
                  <w:p>
                    <w:pPr>
                      <w:spacing w:before="45"/>
                      <w:ind w:left="0" w:right="0" w:firstLine="0"/>
                      <w:jc w:val="left"/>
                      <w:rPr>
                        <w:rFonts w:ascii="Arial"/>
                        <w:sz w:val="12"/>
                      </w:rPr>
                    </w:pPr>
                    <w:r>
                      <w:rPr>
                        <w:rFonts w:ascii="Arial"/>
                        <w:w w:val="105"/>
                        <w:sz w:val="12"/>
                      </w:rPr>
                      <w:t>7000</w:t>
                    </w:r>
                  </w:p>
                  <w:p>
                    <w:pPr>
                      <w:spacing w:line="240" w:lineRule="auto" w:before="0"/>
                      <w:rPr>
                        <w:rFonts w:ascii="Arial"/>
                        <w:sz w:val="14"/>
                      </w:rPr>
                    </w:pPr>
                  </w:p>
                  <w:p>
                    <w:pPr>
                      <w:spacing w:line="240" w:lineRule="auto" w:before="2"/>
                      <w:rPr>
                        <w:rFonts w:ascii="Arial"/>
                        <w:sz w:val="12"/>
                      </w:rPr>
                    </w:pPr>
                  </w:p>
                  <w:p>
                    <w:pPr>
                      <w:spacing w:before="0"/>
                      <w:ind w:left="0" w:right="0" w:firstLine="0"/>
                      <w:jc w:val="left"/>
                      <w:rPr>
                        <w:rFonts w:ascii="Arial"/>
                        <w:sz w:val="12"/>
                      </w:rPr>
                    </w:pPr>
                    <w:r>
                      <w:rPr>
                        <w:rFonts w:ascii="Arial"/>
                        <w:w w:val="105"/>
                        <w:sz w:val="12"/>
                      </w:rPr>
                      <w:t>6000</w:t>
                    </w:r>
                  </w:p>
                  <w:p>
                    <w:pPr>
                      <w:spacing w:line="240" w:lineRule="auto" w:before="2"/>
                      <w:rPr>
                        <w:rFonts w:ascii="Arial"/>
                        <w:sz w:val="17"/>
                      </w:rPr>
                    </w:pPr>
                  </w:p>
                  <w:p>
                    <w:pPr>
                      <w:tabs>
                        <w:tab w:pos="6794" w:val="left" w:leader="none"/>
                      </w:tabs>
                      <w:spacing w:before="1"/>
                      <w:ind w:left="0" w:right="0" w:firstLine="0"/>
                      <w:jc w:val="left"/>
                      <w:rPr>
                        <w:rFonts w:ascii="Arial"/>
                        <w:sz w:val="12"/>
                      </w:rPr>
                    </w:pPr>
                    <w:r>
                      <w:rPr>
                        <w:rFonts w:ascii="Arial"/>
                        <w:w w:val="105"/>
                        <w:position w:val="-8"/>
                        <w:sz w:val="12"/>
                      </w:rPr>
                      <w:t>5000</w:t>
                      <w:tab/>
                    </w:r>
                    <w:r>
                      <w:rPr>
                        <w:rFonts w:ascii="Arial"/>
                        <w:spacing w:val="-5"/>
                        <w:w w:val="105"/>
                        <w:sz w:val="12"/>
                      </w:rPr>
                      <w:t>SFV  </w:t>
                    </w:r>
                    <w:r>
                      <w:rPr>
                        <w:rFonts w:ascii="Arial"/>
                        <w:w w:val="105"/>
                        <w:sz w:val="12"/>
                      </w:rPr>
                      <w:t>-</w:t>
                    </w:r>
                    <w:r>
                      <w:rPr>
                        <w:rFonts w:ascii="Arial"/>
                        <w:spacing w:val="-6"/>
                        <w:w w:val="105"/>
                        <w:sz w:val="12"/>
                      </w:rPr>
                      <w:t> </w:t>
                    </w:r>
                    <w:r>
                      <w:rPr>
                        <w:rFonts w:ascii="Arial"/>
                        <w:w w:val="105"/>
                        <w:sz w:val="12"/>
                      </w:rPr>
                      <w:t>Aislados</w:t>
                    </w:r>
                  </w:p>
                  <w:p>
                    <w:pPr>
                      <w:spacing w:before="16"/>
                      <w:ind w:left="0" w:right="29" w:firstLine="0"/>
                      <w:jc w:val="right"/>
                      <w:rPr>
                        <w:rFonts w:ascii="Arial"/>
                        <w:sz w:val="12"/>
                      </w:rPr>
                    </w:pPr>
                    <w:r>
                      <w:rPr>
                        <w:rFonts w:ascii="Arial"/>
                        <w:spacing w:val="-9"/>
                        <w:w w:val="105"/>
                        <w:sz w:val="12"/>
                      </w:rPr>
                      <w:t>PCH </w:t>
                    </w:r>
                    <w:r>
                      <w:rPr>
                        <w:rFonts w:ascii="Arial"/>
                        <w:w w:val="105"/>
                        <w:sz w:val="12"/>
                      </w:rPr>
                      <w:t>-</w:t>
                    </w:r>
                    <w:r>
                      <w:rPr>
                        <w:rFonts w:ascii="Arial"/>
                        <w:spacing w:val="7"/>
                        <w:w w:val="105"/>
                        <w:sz w:val="12"/>
                      </w:rPr>
                      <w:t> </w:t>
                    </w:r>
                    <w:r>
                      <w:rPr>
                        <w:rFonts w:ascii="Arial"/>
                        <w:w w:val="105"/>
                        <w:sz w:val="12"/>
                      </w:rPr>
                      <w:t>Aislados</w:t>
                    </w:r>
                  </w:p>
                </w:txbxContent>
              </v:textbox>
              <w10:wrap type="none"/>
            </v:shape>
            <v:shape style="position:absolute;left:2258;top:2575;width:300;height:1012" type="#_x0000_t202" filled="false" stroked="false">
              <v:textbox inset="0,0,0,0">
                <w:txbxContent>
                  <w:p>
                    <w:pPr>
                      <w:spacing w:before="3"/>
                      <w:ind w:left="0" w:right="0" w:firstLine="0"/>
                      <w:jc w:val="left"/>
                      <w:rPr>
                        <w:rFonts w:ascii="Arial"/>
                        <w:sz w:val="12"/>
                      </w:rPr>
                    </w:pPr>
                    <w:r>
                      <w:rPr>
                        <w:rFonts w:ascii="Arial"/>
                        <w:w w:val="105"/>
                        <w:sz w:val="12"/>
                      </w:rPr>
                      <w:t>4000</w:t>
                    </w:r>
                  </w:p>
                  <w:p>
                    <w:pPr>
                      <w:spacing w:line="240" w:lineRule="auto" w:before="0"/>
                      <w:rPr>
                        <w:rFonts w:ascii="Arial"/>
                        <w:sz w:val="14"/>
                      </w:rPr>
                    </w:pPr>
                  </w:p>
                  <w:p>
                    <w:pPr>
                      <w:spacing w:line="240" w:lineRule="auto" w:before="3"/>
                      <w:rPr>
                        <w:rFonts w:ascii="Arial"/>
                        <w:sz w:val="11"/>
                      </w:rPr>
                    </w:pPr>
                  </w:p>
                  <w:p>
                    <w:pPr>
                      <w:spacing w:before="1"/>
                      <w:ind w:left="0" w:right="0" w:firstLine="0"/>
                      <w:jc w:val="left"/>
                      <w:rPr>
                        <w:rFonts w:ascii="Arial"/>
                        <w:sz w:val="12"/>
                      </w:rPr>
                    </w:pPr>
                    <w:r>
                      <w:rPr>
                        <w:rFonts w:ascii="Arial"/>
                        <w:w w:val="105"/>
                        <w:sz w:val="12"/>
                      </w:rPr>
                      <w:t>3000</w:t>
                    </w:r>
                  </w:p>
                  <w:p>
                    <w:pPr>
                      <w:spacing w:line="240" w:lineRule="auto" w:before="0"/>
                      <w:rPr>
                        <w:rFonts w:ascii="Arial"/>
                        <w:sz w:val="14"/>
                      </w:rPr>
                    </w:pPr>
                  </w:p>
                  <w:p>
                    <w:pPr>
                      <w:spacing w:line="240" w:lineRule="auto" w:before="2"/>
                      <w:rPr>
                        <w:rFonts w:ascii="Arial"/>
                        <w:sz w:val="12"/>
                      </w:rPr>
                    </w:pPr>
                  </w:p>
                  <w:p>
                    <w:pPr>
                      <w:spacing w:before="0"/>
                      <w:ind w:left="0" w:right="0" w:firstLine="0"/>
                      <w:jc w:val="left"/>
                      <w:rPr>
                        <w:rFonts w:ascii="Arial"/>
                        <w:sz w:val="12"/>
                      </w:rPr>
                    </w:pPr>
                    <w:r>
                      <w:rPr>
                        <w:rFonts w:ascii="Arial"/>
                        <w:w w:val="105"/>
                        <w:sz w:val="12"/>
                      </w:rPr>
                      <w:t>2000</w:t>
                    </w:r>
                  </w:p>
                </w:txbxContent>
              </v:textbox>
              <w10:wrap type="none"/>
            </v:shape>
            <v:shape style="position:absolute;left:9052;top:2530;width:1177;height:1348" type="#_x0000_t202" filled="false" stroked="false">
              <v:textbox inset="0,0,0,0">
                <w:txbxContent>
                  <w:p>
                    <w:pPr>
                      <w:spacing w:line="417" w:lineRule="auto" w:before="3"/>
                      <w:ind w:left="0" w:right="18" w:firstLine="0"/>
                      <w:jc w:val="left"/>
                      <w:rPr>
                        <w:rFonts w:ascii="Arial" w:hAnsi="Arial"/>
                        <w:sz w:val="12"/>
                      </w:rPr>
                    </w:pPr>
                    <w:r>
                      <w:rPr>
                        <w:rFonts w:ascii="Arial" w:hAnsi="Arial"/>
                        <w:w w:val="105"/>
                        <w:sz w:val="12"/>
                      </w:rPr>
                      <w:t>Cogeneración arroz </w:t>
                    </w:r>
                    <w:r>
                      <w:rPr>
                        <w:rFonts w:ascii="Arial" w:hAnsi="Arial"/>
                        <w:spacing w:val="-3"/>
                        <w:w w:val="105"/>
                        <w:sz w:val="12"/>
                      </w:rPr>
                      <w:t>Solar Térmico Biomasa </w:t>
                    </w:r>
                    <w:r>
                      <w:rPr>
                        <w:rFonts w:ascii="Arial" w:hAnsi="Arial"/>
                        <w:w w:val="105"/>
                        <w:sz w:val="12"/>
                      </w:rPr>
                      <w:t>- Desechos </w:t>
                    </w:r>
                    <w:r>
                      <w:rPr>
                        <w:rFonts w:ascii="Arial" w:hAnsi="Arial"/>
                        <w:spacing w:val="-4"/>
                        <w:w w:val="105"/>
                        <w:sz w:val="12"/>
                      </w:rPr>
                      <w:t>Cogen </w:t>
                    </w:r>
                    <w:r>
                      <w:rPr>
                        <w:rFonts w:ascii="Arial" w:hAnsi="Arial"/>
                        <w:spacing w:val="2"/>
                        <w:w w:val="105"/>
                        <w:sz w:val="12"/>
                      </w:rPr>
                      <w:t>Azucar </w:t>
                    </w:r>
                    <w:r>
                      <w:rPr>
                        <w:rFonts w:ascii="Arial" w:hAnsi="Arial"/>
                        <w:spacing w:val="-4"/>
                        <w:w w:val="105"/>
                        <w:sz w:val="12"/>
                      </w:rPr>
                      <w:t>Cogen</w:t>
                    </w:r>
                    <w:r>
                      <w:rPr>
                        <w:rFonts w:ascii="Arial" w:hAnsi="Arial"/>
                        <w:w w:val="105"/>
                        <w:sz w:val="12"/>
                      </w:rPr>
                      <w:t> Alcohol</w:t>
                    </w:r>
                  </w:p>
                  <w:p>
                    <w:pPr>
                      <w:spacing w:before="4"/>
                      <w:ind w:left="0" w:right="0" w:firstLine="0"/>
                      <w:jc w:val="left"/>
                      <w:rPr>
                        <w:rFonts w:ascii="Arial" w:hAnsi="Arial"/>
                        <w:sz w:val="12"/>
                      </w:rPr>
                    </w:pPr>
                    <w:r>
                      <w:rPr>
                        <w:rFonts w:ascii="Arial" w:hAnsi="Arial"/>
                        <w:spacing w:val="-5"/>
                        <w:w w:val="105"/>
                        <w:sz w:val="12"/>
                      </w:rPr>
                      <w:t>Energía</w:t>
                    </w:r>
                    <w:r>
                      <w:rPr>
                        <w:rFonts w:ascii="Arial" w:hAnsi="Arial"/>
                        <w:spacing w:val="19"/>
                        <w:w w:val="105"/>
                        <w:sz w:val="12"/>
                      </w:rPr>
                      <w:t> </w:t>
                    </w:r>
                    <w:r>
                      <w:rPr>
                        <w:rFonts w:ascii="Arial" w:hAnsi="Arial"/>
                        <w:spacing w:val="-5"/>
                        <w:w w:val="105"/>
                        <w:sz w:val="12"/>
                      </w:rPr>
                      <w:t>Eólica</w:t>
                    </w:r>
                  </w:p>
                </w:txbxContent>
              </v:textbox>
              <w10:wrap type="none"/>
            </v:shape>
            <v:shape style="position:absolute;left:2258;top:3874;width:300;height:584" type="#_x0000_t202" filled="false" stroked="false">
              <v:textbox inset="0,0,0,0">
                <w:txbxContent>
                  <w:p>
                    <w:pPr>
                      <w:spacing w:before="3"/>
                      <w:ind w:left="0" w:right="18" w:firstLine="0"/>
                      <w:jc w:val="right"/>
                      <w:rPr>
                        <w:rFonts w:ascii="Arial"/>
                        <w:sz w:val="12"/>
                      </w:rPr>
                    </w:pPr>
                    <w:r>
                      <w:rPr>
                        <w:rFonts w:ascii="Arial"/>
                        <w:w w:val="105"/>
                        <w:sz w:val="12"/>
                      </w:rPr>
                      <w:t>1000</w:t>
                    </w:r>
                  </w:p>
                  <w:p>
                    <w:pPr>
                      <w:spacing w:line="240" w:lineRule="auto" w:before="0"/>
                      <w:rPr>
                        <w:rFonts w:ascii="Arial"/>
                        <w:sz w:val="14"/>
                      </w:rPr>
                    </w:pPr>
                  </w:p>
                  <w:p>
                    <w:pPr>
                      <w:spacing w:line="240" w:lineRule="auto" w:before="4"/>
                      <w:rPr>
                        <w:rFonts w:ascii="Arial"/>
                        <w:sz w:val="12"/>
                      </w:rPr>
                    </w:pPr>
                  </w:p>
                  <w:p>
                    <w:pPr>
                      <w:spacing w:before="0"/>
                      <w:ind w:left="0" w:right="18" w:firstLine="0"/>
                      <w:jc w:val="right"/>
                      <w:rPr>
                        <w:rFonts w:ascii="Arial"/>
                        <w:sz w:val="12"/>
                      </w:rPr>
                    </w:pPr>
                    <w:r>
                      <w:rPr>
                        <w:rFonts w:ascii="Arial"/>
                        <w:w w:val="106"/>
                        <w:sz w:val="12"/>
                      </w:rPr>
                      <w:t>0</w:t>
                    </w:r>
                  </w:p>
                </w:txbxContent>
              </v:textbox>
              <w10:wrap type="none"/>
            </v:shape>
            <v:shape style="position:absolute;left:2709;top:4500;width:5902;height:143" type="#_x0000_t202" filled="false" stroked="false">
              <v:textbox inset="0,0,0,0">
                <w:txbxContent>
                  <w:p>
                    <w:pPr>
                      <w:spacing w:before="3"/>
                      <w:ind w:left="0" w:right="0" w:firstLine="0"/>
                      <w:jc w:val="left"/>
                      <w:rPr>
                        <w:rFonts w:ascii="Arial"/>
                        <w:sz w:val="12"/>
                      </w:rPr>
                    </w:pPr>
                    <w:r>
                      <w:rPr>
                        <w:rFonts w:ascii="Arial"/>
                        <w:w w:val="105"/>
                        <w:sz w:val="12"/>
                      </w:rPr>
                      <w:t>2007 2008 2009 2010 2011 2012 2013 2014 2015 2016 2017 2018 2019 2020</w:t>
                    </w:r>
                  </w:p>
                </w:txbxContent>
              </v:textbox>
              <w10:wrap type="none"/>
            </v:shape>
            <w10:wrap type="none"/>
          </v:group>
        </w:pict>
      </w:r>
      <w:r>
        <w:rPr/>
        <w:pict>
          <v:shape style="position:absolute;margin-left:100.390144pt;margin-top:127.983147pt;width:9.15pt;height:30.3pt;mso-position-horizontal-relative:page;mso-position-vertical-relative:paragraph;z-index:15776768" type="#_x0000_t202" filled="false" stroked="false">
            <v:textbox inset="0,0,0,0" style="layout-flow:vertical;mso-layout-flow-alt:bottom-to-top">
              <w:txbxContent>
                <w:p>
                  <w:pPr>
                    <w:spacing w:before="23"/>
                    <w:ind w:left="20" w:right="0" w:firstLine="0"/>
                    <w:jc w:val="left"/>
                    <w:rPr>
                      <w:rFonts w:ascii="Arial" w:hAnsi="Arial"/>
                      <w:b/>
                      <w:sz w:val="12"/>
                    </w:rPr>
                  </w:pPr>
                  <w:r>
                    <w:rPr>
                      <w:rFonts w:ascii="Arial" w:hAnsi="Arial"/>
                      <w:b/>
                      <w:w w:val="105"/>
                      <w:sz w:val="12"/>
                    </w:rPr>
                    <w:t>GWh/año</w:t>
                  </w:r>
                </w:p>
              </w:txbxContent>
            </v:textbox>
            <w10:wrap type="none"/>
          </v:shape>
        </w:pict>
      </w:r>
      <w:r>
        <w:rPr>
          <w:rFonts w:ascii="Verdana" w:hAnsi="Verdana"/>
        </w:rPr>
        <w:t>Gráfico 2.5 - Generación de energía eléctrica renovable – Escenario alto, 2008-2020</w:t>
      </w: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pStyle w:val="BodyText"/>
        <w:rPr>
          <w:rFonts w:ascii="Verdana"/>
          <w:b/>
          <w:sz w:val="28"/>
        </w:rPr>
      </w:pPr>
    </w:p>
    <w:p>
      <w:pPr>
        <w:spacing w:before="251"/>
        <w:ind w:left="647" w:right="0" w:firstLine="0"/>
        <w:jc w:val="left"/>
        <w:rPr>
          <w:b/>
          <w:sz w:val="20"/>
        </w:rPr>
      </w:pPr>
      <w:r>
        <w:rPr>
          <w:sz w:val="20"/>
        </w:rPr>
        <w:t>Fuente: </w:t>
      </w:r>
      <w:r>
        <w:rPr>
          <w:b/>
          <w:sz w:val="20"/>
        </w:rPr>
        <w:t>DIAGNÓSTICO Y DEFINICIÓN DE LÍNEAS ESTRATÉGICAS DEL SUBSECTOR</w:t>
      </w:r>
    </w:p>
    <w:p>
      <w:pPr>
        <w:spacing w:before="1"/>
        <w:ind w:left="647" w:right="315" w:firstLine="0"/>
        <w:jc w:val="left"/>
        <w:rPr>
          <w:sz w:val="20"/>
        </w:rPr>
      </w:pPr>
      <w:r>
        <w:rPr>
          <w:b/>
          <w:sz w:val="20"/>
        </w:rPr>
        <w:t>FUENTES DE ENERGÍA NUEVAS Y RENOVABLES (FENR)</w:t>
      </w:r>
      <w:r>
        <w:rPr>
          <w:sz w:val="20"/>
        </w:rPr>
        <w:t>, Humberto Rodríguez M, Enero de 2008.</w:t>
      </w:r>
    </w:p>
    <w:p>
      <w:pPr>
        <w:pStyle w:val="BodyText"/>
        <w:rPr>
          <w:sz w:val="24"/>
        </w:rPr>
      </w:pPr>
    </w:p>
    <w:p>
      <w:pPr>
        <w:pStyle w:val="BodyText"/>
        <w:spacing w:before="3"/>
        <w:rPr>
          <w:sz w:val="26"/>
        </w:rPr>
      </w:pPr>
    </w:p>
    <w:p>
      <w:pPr>
        <w:pStyle w:val="Heading5"/>
        <w:numPr>
          <w:ilvl w:val="2"/>
          <w:numId w:val="10"/>
        </w:numPr>
        <w:tabs>
          <w:tab w:pos="1160" w:val="left" w:leader="none"/>
          <w:tab w:pos="1161" w:val="left" w:leader="none"/>
        </w:tabs>
        <w:spacing w:line="240" w:lineRule="auto" w:before="0" w:after="0"/>
        <w:ind w:left="1299" w:right="217" w:hanging="1080"/>
        <w:jc w:val="left"/>
      </w:pPr>
      <w:bookmarkStart w:name="_TOC_250084" w:id="15"/>
      <w:bookmarkEnd w:id="15"/>
      <w:r>
        <w:rPr/>
        <w:t>Lineamientos estratégicos para la energía eólica, solar y otras FER</w:t>
      </w:r>
    </w:p>
    <w:p>
      <w:pPr>
        <w:pStyle w:val="BodyText"/>
        <w:spacing w:before="10"/>
        <w:rPr>
          <w:rFonts w:ascii="Verdana"/>
          <w:b/>
          <w:sz w:val="22"/>
        </w:rPr>
      </w:pPr>
    </w:p>
    <w:p>
      <w:pPr>
        <w:pStyle w:val="BodyText"/>
        <w:ind w:left="219" w:right="215"/>
        <w:jc w:val="both"/>
      </w:pPr>
      <w:r>
        <w:rPr/>
        <w:t>El PEN establece como metas alcanzables y deseables las establecidas en el escenario alto, bajo las siguientes consideraciones.</w:t>
      </w:r>
    </w:p>
    <w:p>
      <w:pPr>
        <w:pStyle w:val="BodyText"/>
        <w:spacing w:before="6"/>
      </w:pPr>
    </w:p>
    <w:p>
      <w:pPr>
        <w:pStyle w:val="Heading3"/>
        <w:spacing w:before="1"/>
        <w:ind w:left="1299"/>
        <w:rPr>
          <w:i/>
        </w:rPr>
      </w:pPr>
      <w:bookmarkStart w:name="_TOC_250083" w:id="16"/>
      <w:bookmarkEnd w:id="16"/>
      <w:r>
        <w:rPr>
          <w:i/>
          <w:w w:val="110"/>
        </w:rPr>
        <w:t>Energía eólica</w:t>
      </w:r>
    </w:p>
    <w:p>
      <w:pPr>
        <w:pStyle w:val="BodyText"/>
        <w:spacing w:before="4"/>
        <w:rPr>
          <w:rFonts w:ascii="Times New Roman"/>
          <w:b/>
          <w:i/>
          <w:sz w:val="26"/>
        </w:rPr>
      </w:pPr>
    </w:p>
    <w:p>
      <w:pPr>
        <w:pStyle w:val="BodyText"/>
        <w:spacing w:before="1"/>
        <w:ind w:left="219" w:right="215"/>
        <w:jc w:val="both"/>
      </w:pPr>
      <w:r>
        <w:rPr/>
        <w:t>Existe un potencial importante por desarrollar no solamente para sistemas aislados sino para la generación al SENI, y el aporte de la generación eléctrica al SENI puede ser significativo. La energía eólica se puede constituir en la FER de mayor penetración en el sector eléctrico. En</w:t>
      </w:r>
      <w:r>
        <w:rPr>
          <w:spacing w:val="-1"/>
        </w:rPr>
        <w:t> </w:t>
      </w:r>
      <w:r>
        <w:rPr/>
        <w:t>consecuencia:</w:t>
      </w:r>
    </w:p>
    <w:p>
      <w:pPr>
        <w:pStyle w:val="BodyText"/>
      </w:pPr>
    </w:p>
    <w:p>
      <w:pPr>
        <w:pStyle w:val="ListParagraph"/>
        <w:numPr>
          <w:ilvl w:val="3"/>
          <w:numId w:val="10"/>
        </w:numPr>
        <w:tabs>
          <w:tab w:pos="940" w:val="left" w:leader="none"/>
        </w:tabs>
        <w:spacing w:line="240" w:lineRule="auto" w:before="0" w:after="0"/>
        <w:ind w:left="939" w:right="215" w:hanging="360"/>
        <w:jc w:val="both"/>
        <w:rPr>
          <w:rFonts w:ascii="Symbol" w:hAnsi="Symbol"/>
          <w:sz w:val="23"/>
        </w:rPr>
      </w:pPr>
      <w:r>
        <w:rPr>
          <w:sz w:val="23"/>
        </w:rPr>
        <w:t>Iniciar el programa de desarrollo de energía eólica para la generación de electricidad para el SENI. Si bien no se ha construido el primer parque eólico en el país, si hay numerosos desarrolladores que tiene sus proyectos en diferentes grados de desarrollo cuyas actividades deben ser fortalecidas y estimuladas por el</w:t>
      </w:r>
      <w:r>
        <w:rPr>
          <w:spacing w:val="-19"/>
          <w:sz w:val="23"/>
        </w:rPr>
        <w:t> </w:t>
      </w:r>
      <w:r>
        <w:rPr>
          <w:sz w:val="23"/>
        </w:rPr>
        <w:t>programa.</w:t>
      </w:r>
    </w:p>
    <w:p>
      <w:pPr>
        <w:spacing w:after="0" w:line="240" w:lineRule="auto"/>
        <w:jc w:val="both"/>
        <w:rPr>
          <w:rFonts w:ascii="Symbol" w:hAnsi="Symbol"/>
          <w:sz w:val="23"/>
        </w:rPr>
        <w:sectPr>
          <w:pgSz w:w="12240" w:h="15840"/>
          <w:pgMar w:header="718" w:footer="954" w:top="1500" w:bottom="1140" w:left="1220" w:right="1220"/>
        </w:sectPr>
      </w:pPr>
    </w:p>
    <w:p>
      <w:pPr>
        <w:pStyle w:val="ListParagraph"/>
        <w:numPr>
          <w:ilvl w:val="3"/>
          <w:numId w:val="10"/>
        </w:numPr>
        <w:tabs>
          <w:tab w:pos="940" w:val="left" w:leader="none"/>
        </w:tabs>
        <w:spacing w:line="237" w:lineRule="auto" w:before="116" w:after="0"/>
        <w:ind w:left="939" w:right="215" w:hanging="360"/>
        <w:jc w:val="both"/>
        <w:rPr>
          <w:rFonts w:ascii="Symbol" w:hAnsi="Symbol"/>
          <w:sz w:val="23"/>
        </w:rPr>
      </w:pPr>
      <w:r>
        <w:rPr>
          <w:sz w:val="23"/>
        </w:rPr>
        <w:t>Desde el punto de vista institucional, es necesario desarrollar los instrumentos y mecanismos que faciliten a los desarrolladores el logro de sus objetivos para así poder alcanzar en el 2010 una generación de 100 MW y 560 MW en el</w:t>
      </w:r>
      <w:r>
        <w:rPr>
          <w:spacing w:val="-14"/>
          <w:sz w:val="23"/>
        </w:rPr>
        <w:t> </w:t>
      </w:r>
      <w:r>
        <w:rPr>
          <w:sz w:val="23"/>
        </w:rPr>
        <w:t>2013.</w:t>
      </w:r>
    </w:p>
    <w:p>
      <w:pPr>
        <w:pStyle w:val="ListParagraph"/>
        <w:numPr>
          <w:ilvl w:val="3"/>
          <w:numId w:val="10"/>
        </w:numPr>
        <w:tabs>
          <w:tab w:pos="940" w:val="left" w:leader="none"/>
        </w:tabs>
        <w:spacing w:line="237" w:lineRule="auto" w:before="7" w:after="0"/>
        <w:ind w:left="939" w:right="215" w:hanging="360"/>
        <w:jc w:val="both"/>
        <w:rPr>
          <w:rFonts w:ascii="Symbol" w:hAnsi="Symbol"/>
          <w:sz w:val="23"/>
        </w:rPr>
      </w:pPr>
      <w:r>
        <w:rPr>
          <w:sz w:val="23"/>
        </w:rPr>
        <w:t>El programa de energía eólica constituye así también un reto institucional importante al poner a prueba el ordenamiento legal, técnico y reglamentario surgido como consecuencia de la Ley</w:t>
      </w:r>
      <w:r>
        <w:rPr>
          <w:spacing w:val="-4"/>
          <w:sz w:val="23"/>
        </w:rPr>
        <w:t> </w:t>
      </w:r>
      <w:r>
        <w:rPr>
          <w:sz w:val="23"/>
        </w:rPr>
        <w:t>57-07</w:t>
      </w:r>
    </w:p>
    <w:p>
      <w:pPr>
        <w:pStyle w:val="BodyText"/>
        <w:spacing w:before="8"/>
      </w:pPr>
    </w:p>
    <w:p>
      <w:pPr>
        <w:pStyle w:val="Heading3"/>
        <w:ind w:left="1299"/>
        <w:rPr>
          <w:i/>
        </w:rPr>
      </w:pPr>
      <w:bookmarkStart w:name="_TOC_250082" w:id="17"/>
      <w:bookmarkEnd w:id="17"/>
      <w:r>
        <w:rPr>
          <w:i/>
          <w:w w:val="105"/>
        </w:rPr>
        <w:t>Solar</w:t>
      </w:r>
    </w:p>
    <w:p>
      <w:pPr>
        <w:pStyle w:val="BodyText"/>
        <w:spacing w:before="1"/>
        <w:rPr>
          <w:rFonts w:ascii="Times New Roman"/>
          <w:b/>
          <w:i/>
          <w:sz w:val="24"/>
        </w:rPr>
      </w:pPr>
    </w:p>
    <w:p>
      <w:pPr>
        <w:pStyle w:val="BodyText"/>
        <w:spacing w:before="1"/>
        <w:ind w:left="219" w:right="214"/>
        <w:jc w:val="both"/>
      </w:pPr>
      <w:r>
        <w:rPr/>
        <w:t>En cuanto a la energía solar, el PEN 2004-2015 indica para el escenario I (Alto) “que la energía solar debería doblar para el 2010 y triplicar para el 2015 su participación en el calentamiento de agua en los sectores residencial y de servicios”, este estudio muestra que se debería:</w:t>
      </w:r>
    </w:p>
    <w:p>
      <w:pPr>
        <w:pStyle w:val="BodyText"/>
      </w:pPr>
    </w:p>
    <w:p>
      <w:pPr>
        <w:pStyle w:val="ListParagraph"/>
        <w:numPr>
          <w:ilvl w:val="3"/>
          <w:numId w:val="10"/>
        </w:numPr>
        <w:tabs>
          <w:tab w:pos="940" w:val="left" w:leader="none"/>
        </w:tabs>
        <w:spacing w:line="240" w:lineRule="auto" w:before="0" w:after="0"/>
        <w:ind w:left="939" w:right="215" w:hanging="360"/>
        <w:jc w:val="both"/>
        <w:rPr>
          <w:rFonts w:ascii="Symbol" w:hAnsi="Symbol"/>
          <w:sz w:val="23"/>
        </w:rPr>
      </w:pPr>
      <w:r>
        <w:rPr>
          <w:sz w:val="23"/>
        </w:rPr>
        <w:t>Iniciar un programa de calentadores solares para el sector residencial y de servicios. La bondad de estos sistemas como equipos que reducen la demanda de energía eléctrica o de otros combustibles, se ha demostrado en este estudio sino también en otros que al igual que este han recomendado la realización de este programa. El programa debe incluir no solamente las nuevas vivienda en el sector residencial sino también los remodelamientos de las mismas, así como el sector servicios (hoteles, hospitales y</w:t>
      </w:r>
      <w:r>
        <w:rPr>
          <w:spacing w:val="-2"/>
          <w:sz w:val="23"/>
        </w:rPr>
        <w:t> </w:t>
      </w:r>
      <w:r>
        <w:rPr>
          <w:sz w:val="23"/>
        </w:rPr>
        <w:t>similares).</w:t>
      </w:r>
    </w:p>
    <w:p>
      <w:pPr>
        <w:pStyle w:val="BodyText"/>
        <w:spacing w:before="2"/>
      </w:pPr>
    </w:p>
    <w:p>
      <w:pPr>
        <w:pStyle w:val="ListParagraph"/>
        <w:numPr>
          <w:ilvl w:val="3"/>
          <w:numId w:val="10"/>
        </w:numPr>
        <w:tabs>
          <w:tab w:pos="940" w:val="left" w:leader="none"/>
        </w:tabs>
        <w:spacing w:line="235" w:lineRule="auto" w:before="0" w:after="0"/>
        <w:ind w:left="939" w:right="216" w:hanging="360"/>
        <w:jc w:val="both"/>
        <w:rPr>
          <w:rFonts w:ascii="Symbol" w:hAnsi="Symbol"/>
          <w:sz w:val="23"/>
        </w:rPr>
      </w:pPr>
      <w:r>
        <w:rPr>
          <w:sz w:val="23"/>
        </w:rPr>
        <w:t>El programa podría establecer una Línea de Crédito a partir del fondo para la promoción de las FER, a cargo de la</w:t>
      </w:r>
      <w:r>
        <w:rPr>
          <w:spacing w:val="-3"/>
          <w:sz w:val="23"/>
        </w:rPr>
        <w:t> </w:t>
      </w:r>
      <w:r>
        <w:rPr>
          <w:sz w:val="23"/>
        </w:rPr>
        <w:t>CNE.</w:t>
      </w:r>
    </w:p>
    <w:p>
      <w:pPr>
        <w:pStyle w:val="BodyText"/>
        <w:spacing w:before="7"/>
      </w:pPr>
    </w:p>
    <w:p>
      <w:pPr>
        <w:pStyle w:val="Heading3"/>
        <w:spacing w:before="1"/>
        <w:ind w:left="1299"/>
        <w:rPr>
          <w:i/>
        </w:rPr>
      </w:pPr>
      <w:bookmarkStart w:name="_TOC_250081" w:id="18"/>
      <w:bookmarkEnd w:id="18"/>
      <w:r>
        <w:rPr>
          <w:i/>
          <w:w w:val="105"/>
        </w:rPr>
        <w:t>SFV (Sistemas Fotovoltaicos)</w:t>
      </w:r>
    </w:p>
    <w:p>
      <w:pPr>
        <w:pStyle w:val="BodyText"/>
        <w:spacing w:before="2"/>
        <w:rPr>
          <w:rFonts w:ascii="Times New Roman"/>
          <w:b/>
          <w:i/>
          <w:sz w:val="24"/>
        </w:rPr>
      </w:pPr>
    </w:p>
    <w:p>
      <w:pPr>
        <w:pStyle w:val="ListParagraph"/>
        <w:numPr>
          <w:ilvl w:val="3"/>
          <w:numId w:val="10"/>
        </w:numPr>
        <w:tabs>
          <w:tab w:pos="940" w:val="left" w:leader="none"/>
        </w:tabs>
        <w:spacing w:line="240" w:lineRule="auto" w:before="0" w:after="0"/>
        <w:ind w:left="939" w:right="214" w:hanging="360"/>
        <w:jc w:val="both"/>
        <w:rPr>
          <w:rFonts w:ascii="Symbol" w:hAnsi="Symbol"/>
          <w:sz w:val="23"/>
        </w:rPr>
      </w:pPr>
      <w:r>
        <w:rPr>
          <w:sz w:val="23"/>
        </w:rPr>
        <w:t>Comenzar un Programa de Electrificación Rural con SFV, dentro de los lineamientos de los programas de Electrificación Rural. Los pequeños SFV son una alternativa para el suministro de energía eléctrica para los servicios básicos de los usuarios rurales frente a la extensión de red o autogeneración con plantas</w:t>
      </w:r>
      <w:r>
        <w:rPr>
          <w:spacing w:val="-13"/>
          <w:sz w:val="23"/>
        </w:rPr>
        <w:t> </w:t>
      </w:r>
      <w:r>
        <w:rPr>
          <w:sz w:val="23"/>
        </w:rPr>
        <w:t>eléctrica.</w:t>
      </w:r>
    </w:p>
    <w:p>
      <w:pPr>
        <w:pStyle w:val="BodyText"/>
      </w:pPr>
    </w:p>
    <w:p>
      <w:pPr>
        <w:pStyle w:val="ListParagraph"/>
        <w:numPr>
          <w:ilvl w:val="3"/>
          <w:numId w:val="10"/>
        </w:numPr>
        <w:tabs>
          <w:tab w:pos="940" w:val="left" w:leader="none"/>
        </w:tabs>
        <w:spacing w:line="237" w:lineRule="auto" w:before="0" w:after="0"/>
        <w:ind w:left="939" w:right="216" w:hanging="360"/>
        <w:jc w:val="both"/>
        <w:rPr>
          <w:rFonts w:ascii="Symbol" w:hAnsi="Symbol"/>
          <w:sz w:val="23"/>
        </w:rPr>
      </w:pPr>
      <w:r>
        <w:rPr>
          <w:sz w:val="23"/>
        </w:rPr>
        <w:t>El reto consiste no solamente en estructurar, gestionar los recursos y ejecutar las obras, sino en establecer y desarrollar mecanismo de gestión del programa que aseguren la sostenibilidad del proyecto en el largo</w:t>
      </w:r>
      <w:r>
        <w:rPr>
          <w:spacing w:val="-4"/>
          <w:sz w:val="23"/>
        </w:rPr>
        <w:t> </w:t>
      </w:r>
      <w:r>
        <w:rPr>
          <w:sz w:val="23"/>
        </w:rPr>
        <w:t>plazo.</w:t>
      </w:r>
    </w:p>
    <w:p>
      <w:pPr>
        <w:pStyle w:val="BodyText"/>
        <w:spacing w:before="7"/>
      </w:pPr>
    </w:p>
    <w:p>
      <w:pPr>
        <w:pStyle w:val="ListParagraph"/>
        <w:numPr>
          <w:ilvl w:val="3"/>
          <w:numId w:val="10"/>
        </w:numPr>
        <w:tabs>
          <w:tab w:pos="940" w:val="left" w:leader="none"/>
        </w:tabs>
        <w:spacing w:line="235" w:lineRule="auto" w:before="0" w:after="0"/>
        <w:ind w:left="939" w:right="216" w:hanging="360"/>
        <w:jc w:val="both"/>
        <w:rPr>
          <w:rFonts w:ascii="Symbol" w:hAnsi="Symbol"/>
          <w:sz w:val="23"/>
        </w:rPr>
      </w:pPr>
      <w:r>
        <w:rPr>
          <w:sz w:val="23"/>
        </w:rPr>
        <w:t>La meta de un programa de esta naturaleza dentro de un programa de electrificación rural debe ser un país totalmente</w:t>
      </w:r>
      <w:r>
        <w:rPr>
          <w:spacing w:val="-1"/>
          <w:sz w:val="23"/>
        </w:rPr>
        <w:t> </w:t>
      </w:r>
      <w:r>
        <w:rPr>
          <w:sz w:val="23"/>
        </w:rPr>
        <w:t>electrificado.</w:t>
      </w:r>
    </w:p>
    <w:p>
      <w:pPr>
        <w:spacing w:after="0" w:line="235" w:lineRule="auto"/>
        <w:jc w:val="both"/>
        <w:rPr>
          <w:rFonts w:ascii="Symbol" w:hAnsi="Symbol"/>
          <w:sz w:val="23"/>
        </w:rPr>
        <w:sectPr>
          <w:pgSz w:w="12240" w:h="15840"/>
          <w:pgMar w:header="718" w:footer="954" w:top="1500" w:bottom="1140" w:left="1220" w:right="1220"/>
        </w:sectPr>
      </w:pPr>
    </w:p>
    <w:p>
      <w:pPr>
        <w:pStyle w:val="Heading3"/>
        <w:spacing w:before="119"/>
        <w:ind w:left="1299"/>
        <w:rPr>
          <w:i/>
        </w:rPr>
      </w:pPr>
      <w:bookmarkStart w:name="_TOC_250080" w:id="19"/>
      <w:bookmarkEnd w:id="19"/>
      <w:r>
        <w:rPr>
          <w:i/>
          <w:w w:val="110"/>
        </w:rPr>
        <w:t>Cogeneración en las destilerías de alcohol</w:t>
      </w:r>
    </w:p>
    <w:p>
      <w:pPr>
        <w:pStyle w:val="BodyText"/>
        <w:spacing w:before="2"/>
        <w:rPr>
          <w:rFonts w:ascii="Times New Roman"/>
          <w:b/>
          <w:i/>
          <w:sz w:val="24"/>
        </w:rPr>
      </w:pPr>
    </w:p>
    <w:p>
      <w:pPr>
        <w:pStyle w:val="BodyText"/>
        <w:ind w:left="219" w:right="214"/>
        <w:jc w:val="both"/>
      </w:pPr>
      <w:r>
        <w:rPr/>
        <w:t>El desarrollo de un Programa de Etanol es la condición básica para este programa de cogeneración. Por el hecho de tratarse de un nuevo programa es posible entonces la introducción de modernas destilerías de alcohol que permitan la cogeneración bajo un esquema de “Energía Total”, esto es, para la utilización prácticamente total de la energía del bagazo y desechos de estas plantas. Es importante anotar que dentro de los escenarios elaborados, es la segunda FER en orden de importancia, después de la energía</w:t>
      </w:r>
      <w:r>
        <w:rPr>
          <w:spacing w:val="-20"/>
        </w:rPr>
        <w:t> </w:t>
      </w:r>
      <w:r>
        <w:rPr/>
        <w:t>eólica.</w:t>
      </w:r>
    </w:p>
    <w:p>
      <w:pPr>
        <w:pStyle w:val="BodyText"/>
        <w:spacing w:before="2"/>
      </w:pPr>
    </w:p>
    <w:p>
      <w:pPr>
        <w:pStyle w:val="ListParagraph"/>
        <w:numPr>
          <w:ilvl w:val="3"/>
          <w:numId w:val="10"/>
        </w:numPr>
        <w:tabs>
          <w:tab w:pos="940" w:val="left" w:leader="none"/>
        </w:tabs>
        <w:spacing w:line="240" w:lineRule="auto" w:before="0" w:after="0"/>
        <w:ind w:left="939" w:right="214" w:hanging="360"/>
        <w:jc w:val="both"/>
        <w:rPr>
          <w:rFonts w:ascii="Symbol" w:hAnsi="Symbol"/>
          <w:sz w:val="23"/>
        </w:rPr>
      </w:pPr>
      <w:r>
        <w:rPr>
          <w:sz w:val="23"/>
        </w:rPr>
        <w:t>Iniciar un Programa de Cogeneración para el SENI en las futuras destilerías de alcohol propuestas en este estudio. Las nuevas destilerías dedicadas a la producción de alcohol carburante deben ser industrias modernas concebidas para “Energía Total”, esto es, para la utilización prácticamente total de la energía del bagazo y desechos de estas plantas.</w:t>
      </w:r>
    </w:p>
    <w:p>
      <w:pPr>
        <w:pStyle w:val="BodyText"/>
        <w:spacing w:before="10"/>
        <w:rPr>
          <w:sz w:val="22"/>
        </w:rPr>
      </w:pPr>
    </w:p>
    <w:p>
      <w:pPr>
        <w:pStyle w:val="ListParagraph"/>
        <w:numPr>
          <w:ilvl w:val="3"/>
          <w:numId w:val="10"/>
        </w:numPr>
        <w:tabs>
          <w:tab w:pos="940" w:val="left" w:leader="none"/>
        </w:tabs>
        <w:spacing w:line="237" w:lineRule="auto" w:before="0" w:after="0"/>
        <w:ind w:left="939" w:right="214" w:hanging="360"/>
        <w:jc w:val="both"/>
        <w:rPr>
          <w:rFonts w:ascii="Symbol" w:hAnsi="Symbol"/>
          <w:sz w:val="23"/>
        </w:rPr>
      </w:pPr>
      <w:r>
        <w:rPr>
          <w:sz w:val="23"/>
        </w:rPr>
        <w:t>Este programa de cogeneración está íntimamente ligado a la estrategia de etanol, siendo una actividad de generación fundamental hacia una agroindustria energética eficiente y ambientalmente</w:t>
      </w:r>
      <w:r>
        <w:rPr>
          <w:spacing w:val="2"/>
          <w:sz w:val="23"/>
        </w:rPr>
        <w:t> </w:t>
      </w:r>
      <w:r>
        <w:rPr>
          <w:sz w:val="23"/>
        </w:rPr>
        <w:t>sostenible.</w:t>
      </w:r>
    </w:p>
    <w:p>
      <w:pPr>
        <w:pStyle w:val="BodyText"/>
        <w:spacing w:before="10"/>
      </w:pPr>
    </w:p>
    <w:p>
      <w:pPr>
        <w:pStyle w:val="Heading3"/>
        <w:ind w:left="1299"/>
        <w:rPr>
          <w:i/>
        </w:rPr>
      </w:pPr>
      <w:bookmarkStart w:name="_TOC_250079" w:id="20"/>
      <w:bookmarkEnd w:id="20"/>
      <w:r>
        <w:rPr>
          <w:i/>
          <w:w w:val="110"/>
        </w:rPr>
        <w:t>Cogeneración en la industria azucarera</w:t>
      </w:r>
    </w:p>
    <w:p>
      <w:pPr>
        <w:pStyle w:val="BodyText"/>
        <w:spacing w:before="4"/>
        <w:rPr>
          <w:rFonts w:ascii="Times New Roman"/>
          <w:b/>
          <w:i/>
          <w:sz w:val="25"/>
        </w:rPr>
      </w:pPr>
    </w:p>
    <w:p>
      <w:pPr>
        <w:pStyle w:val="ListParagraph"/>
        <w:numPr>
          <w:ilvl w:val="3"/>
          <w:numId w:val="10"/>
        </w:numPr>
        <w:tabs>
          <w:tab w:pos="940" w:val="left" w:leader="none"/>
        </w:tabs>
        <w:spacing w:line="237" w:lineRule="auto" w:before="0" w:after="0"/>
        <w:ind w:left="939" w:right="215" w:hanging="360"/>
        <w:jc w:val="both"/>
        <w:rPr>
          <w:rFonts w:ascii="Symbol" w:hAnsi="Symbol"/>
          <w:sz w:val="23"/>
        </w:rPr>
      </w:pPr>
      <w:r>
        <w:rPr>
          <w:sz w:val="23"/>
        </w:rPr>
        <w:t>Iniciar un Programa de Cogeneración en la industria azucarera para el SENI. A esta industria se le reconoce desde hace más de una década su interés en el desarrollo de proyectos de cogeneración para la</w:t>
      </w:r>
      <w:r>
        <w:rPr>
          <w:spacing w:val="-1"/>
          <w:sz w:val="23"/>
        </w:rPr>
        <w:t> </w:t>
      </w:r>
      <w:r>
        <w:rPr>
          <w:sz w:val="23"/>
        </w:rPr>
        <w:t>red.</w:t>
      </w:r>
    </w:p>
    <w:p>
      <w:pPr>
        <w:pStyle w:val="BodyText"/>
        <w:spacing w:before="5"/>
      </w:pPr>
    </w:p>
    <w:p>
      <w:pPr>
        <w:pStyle w:val="ListParagraph"/>
        <w:numPr>
          <w:ilvl w:val="3"/>
          <w:numId w:val="10"/>
        </w:numPr>
        <w:tabs>
          <w:tab w:pos="940" w:val="left" w:leader="none"/>
        </w:tabs>
        <w:spacing w:line="237" w:lineRule="auto" w:before="0" w:after="0"/>
        <w:ind w:left="939" w:right="214" w:hanging="360"/>
        <w:jc w:val="both"/>
        <w:rPr>
          <w:rFonts w:ascii="Symbol" w:hAnsi="Symbol"/>
          <w:sz w:val="23"/>
        </w:rPr>
      </w:pPr>
      <w:r>
        <w:rPr>
          <w:sz w:val="23"/>
        </w:rPr>
        <w:t>El reto en este programa es la viabilidad técnica, económica, financiera y operativa de realización en cada</w:t>
      </w:r>
      <w:r>
        <w:rPr>
          <w:spacing w:val="-1"/>
          <w:sz w:val="23"/>
        </w:rPr>
        <w:t> </w:t>
      </w:r>
      <w:r>
        <w:rPr>
          <w:sz w:val="23"/>
        </w:rPr>
        <w:t>ingenio.</w:t>
      </w:r>
    </w:p>
    <w:p>
      <w:pPr>
        <w:pStyle w:val="BodyText"/>
        <w:spacing w:before="3"/>
      </w:pPr>
    </w:p>
    <w:p>
      <w:pPr>
        <w:pStyle w:val="ListParagraph"/>
        <w:numPr>
          <w:ilvl w:val="3"/>
          <w:numId w:val="10"/>
        </w:numPr>
        <w:tabs>
          <w:tab w:pos="940" w:val="left" w:leader="none"/>
        </w:tabs>
        <w:spacing w:line="237" w:lineRule="auto" w:before="1" w:after="0"/>
        <w:ind w:left="939" w:right="215" w:hanging="360"/>
        <w:jc w:val="both"/>
        <w:rPr>
          <w:rFonts w:ascii="Symbol" w:hAnsi="Symbol"/>
          <w:sz w:val="23"/>
        </w:rPr>
      </w:pPr>
      <w:r>
        <w:rPr>
          <w:sz w:val="23"/>
        </w:rPr>
        <w:t>Internacionalmente, está demostrado que la cogeneración de energía para la venta es factible financieramente y es un elemento importante en la economía de las destilerías.</w:t>
      </w:r>
    </w:p>
    <w:p>
      <w:pPr>
        <w:pStyle w:val="BodyText"/>
        <w:spacing w:before="7"/>
      </w:pPr>
    </w:p>
    <w:p>
      <w:pPr>
        <w:pStyle w:val="Heading3"/>
        <w:ind w:left="1299"/>
        <w:rPr>
          <w:i/>
        </w:rPr>
      </w:pPr>
      <w:bookmarkStart w:name="_TOC_250078" w:id="21"/>
      <w:bookmarkEnd w:id="21"/>
      <w:r>
        <w:rPr>
          <w:i/>
          <w:w w:val="110"/>
        </w:rPr>
        <w:t>Cogeneración industrial</w:t>
      </w:r>
    </w:p>
    <w:p>
      <w:pPr>
        <w:pStyle w:val="BodyText"/>
        <w:spacing w:before="2"/>
        <w:rPr>
          <w:rFonts w:ascii="Times New Roman"/>
          <w:b/>
          <w:i/>
          <w:sz w:val="24"/>
        </w:rPr>
      </w:pPr>
    </w:p>
    <w:p>
      <w:pPr>
        <w:pStyle w:val="BodyText"/>
        <w:ind w:left="220" w:right="215"/>
        <w:jc w:val="both"/>
      </w:pPr>
      <w:r>
        <w:rPr/>
        <w:t>En general, en el mundo la cogeneración está fuertemente implantada en los siguientes sectores industriales:</w:t>
      </w:r>
    </w:p>
    <w:p>
      <w:pPr>
        <w:pStyle w:val="BodyText"/>
        <w:spacing w:before="1"/>
      </w:pPr>
    </w:p>
    <w:p>
      <w:pPr>
        <w:pStyle w:val="ListParagraph"/>
        <w:numPr>
          <w:ilvl w:val="3"/>
          <w:numId w:val="10"/>
        </w:numPr>
        <w:tabs>
          <w:tab w:pos="939" w:val="left" w:leader="none"/>
          <w:tab w:pos="940" w:val="left" w:leader="none"/>
        </w:tabs>
        <w:spacing w:line="280" w:lineRule="exact" w:before="0" w:after="0"/>
        <w:ind w:left="940" w:right="0" w:hanging="361"/>
        <w:jc w:val="left"/>
        <w:rPr>
          <w:rFonts w:ascii="Symbol" w:hAnsi="Symbol"/>
          <w:sz w:val="23"/>
        </w:rPr>
      </w:pPr>
      <w:r>
        <w:rPr>
          <w:sz w:val="23"/>
        </w:rPr>
        <w:t>Papel y cartón.</w:t>
      </w:r>
    </w:p>
    <w:p>
      <w:pPr>
        <w:pStyle w:val="ListParagraph"/>
        <w:numPr>
          <w:ilvl w:val="3"/>
          <w:numId w:val="10"/>
        </w:numPr>
        <w:tabs>
          <w:tab w:pos="939" w:val="left" w:leader="none"/>
          <w:tab w:pos="940" w:val="left" w:leader="none"/>
        </w:tabs>
        <w:spacing w:line="278" w:lineRule="exact" w:before="0" w:after="0"/>
        <w:ind w:left="939" w:right="0" w:hanging="361"/>
        <w:jc w:val="left"/>
        <w:rPr>
          <w:rFonts w:ascii="Symbol" w:hAnsi="Symbol"/>
          <w:sz w:val="23"/>
        </w:rPr>
      </w:pPr>
      <w:r>
        <w:rPr>
          <w:sz w:val="23"/>
        </w:rPr>
        <w:t>Textil, sobretodo</w:t>
      </w:r>
      <w:r>
        <w:rPr>
          <w:spacing w:val="-3"/>
          <w:sz w:val="23"/>
        </w:rPr>
        <w:t> </w:t>
      </w:r>
      <w:r>
        <w:rPr>
          <w:sz w:val="23"/>
        </w:rPr>
        <w:t>tinte</w:t>
      </w:r>
    </w:p>
    <w:p>
      <w:pPr>
        <w:pStyle w:val="ListParagraph"/>
        <w:numPr>
          <w:ilvl w:val="3"/>
          <w:numId w:val="10"/>
        </w:numPr>
        <w:tabs>
          <w:tab w:pos="939" w:val="left" w:leader="none"/>
          <w:tab w:pos="940" w:val="left" w:leader="none"/>
        </w:tabs>
        <w:spacing w:line="278" w:lineRule="exact" w:before="0" w:after="0"/>
        <w:ind w:left="940" w:right="0" w:hanging="361"/>
        <w:jc w:val="left"/>
        <w:rPr>
          <w:rFonts w:ascii="Symbol" w:hAnsi="Symbol"/>
          <w:sz w:val="23"/>
        </w:rPr>
      </w:pPr>
      <w:r>
        <w:rPr>
          <w:sz w:val="23"/>
        </w:rPr>
        <w:t>Química</w:t>
      </w:r>
    </w:p>
    <w:p>
      <w:pPr>
        <w:pStyle w:val="ListParagraph"/>
        <w:numPr>
          <w:ilvl w:val="3"/>
          <w:numId w:val="10"/>
        </w:numPr>
        <w:tabs>
          <w:tab w:pos="939" w:val="left" w:leader="none"/>
          <w:tab w:pos="940" w:val="left" w:leader="none"/>
        </w:tabs>
        <w:spacing w:line="280" w:lineRule="exact" w:before="0" w:after="0"/>
        <w:ind w:left="939" w:right="0" w:hanging="361"/>
        <w:jc w:val="left"/>
        <w:rPr>
          <w:rFonts w:ascii="Symbol" w:hAnsi="Symbol"/>
          <w:sz w:val="23"/>
        </w:rPr>
      </w:pPr>
      <w:r>
        <w:rPr>
          <w:sz w:val="23"/>
        </w:rPr>
        <w:t>Alimentación y</w:t>
      </w:r>
      <w:r>
        <w:rPr>
          <w:spacing w:val="-1"/>
          <w:sz w:val="23"/>
        </w:rPr>
        <w:t> </w:t>
      </w:r>
      <w:r>
        <w:rPr>
          <w:sz w:val="23"/>
        </w:rPr>
        <w:t>bebidas</w:t>
      </w:r>
    </w:p>
    <w:p>
      <w:pPr>
        <w:spacing w:after="0" w:line="280" w:lineRule="exact"/>
        <w:jc w:val="left"/>
        <w:rPr>
          <w:rFonts w:ascii="Symbol" w:hAnsi="Symbol"/>
          <w:sz w:val="23"/>
        </w:rPr>
        <w:sectPr>
          <w:pgSz w:w="12240" w:h="15840"/>
          <w:pgMar w:header="718" w:footer="954" w:top="1500" w:bottom="1140" w:left="1220" w:right="1220"/>
        </w:sectPr>
      </w:pPr>
    </w:p>
    <w:p>
      <w:pPr>
        <w:pStyle w:val="BodyText"/>
        <w:spacing w:before="113"/>
        <w:ind w:left="219" w:right="214"/>
        <w:jc w:val="both"/>
      </w:pPr>
      <w:r>
        <w:rPr/>
        <w:t>La cogeneración presenta muchas ventajas tanto para el promotor como para el conjunto del país. Entre ellas, mejora del medio ambiente debido a:</w:t>
      </w:r>
    </w:p>
    <w:p>
      <w:pPr>
        <w:pStyle w:val="BodyText"/>
        <w:spacing w:before="3"/>
      </w:pPr>
    </w:p>
    <w:p>
      <w:pPr>
        <w:pStyle w:val="ListParagraph"/>
        <w:numPr>
          <w:ilvl w:val="3"/>
          <w:numId w:val="10"/>
        </w:numPr>
        <w:tabs>
          <w:tab w:pos="939" w:val="left" w:leader="none"/>
          <w:tab w:pos="940" w:val="left" w:leader="none"/>
        </w:tabs>
        <w:spacing w:line="237" w:lineRule="auto" w:before="0" w:after="0"/>
        <w:ind w:left="939" w:right="214" w:hanging="360"/>
        <w:jc w:val="left"/>
        <w:rPr>
          <w:rFonts w:ascii="Symbol" w:hAnsi="Symbol"/>
          <w:sz w:val="23"/>
        </w:rPr>
      </w:pPr>
      <w:r>
        <w:rPr>
          <w:sz w:val="23"/>
        </w:rPr>
        <w:t>Se necesita una cantidad de energía primaria menor para producir la misma  cantidad de energía</w:t>
      </w:r>
      <w:r>
        <w:rPr>
          <w:spacing w:val="-1"/>
          <w:sz w:val="23"/>
        </w:rPr>
        <w:t> </w:t>
      </w:r>
      <w:r>
        <w:rPr>
          <w:sz w:val="23"/>
        </w:rPr>
        <w:t>útil.</w:t>
      </w:r>
    </w:p>
    <w:p>
      <w:pPr>
        <w:pStyle w:val="ListParagraph"/>
        <w:numPr>
          <w:ilvl w:val="3"/>
          <w:numId w:val="10"/>
        </w:numPr>
        <w:tabs>
          <w:tab w:pos="939" w:val="left" w:leader="none"/>
          <w:tab w:pos="940" w:val="left" w:leader="none"/>
          <w:tab w:pos="7885" w:val="left" w:leader="none"/>
        </w:tabs>
        <w:spacing w:line="235" w:lineRule="auto" w:before="6" w:after="0"/>
        <w:ind w:left="939" w:right="217" w:hanging="360"/>
        <w:jc w:val="left"/>
        <w:rPr>
          <w:rFonts w:ascii="Symbol" w:hAnsi="Symbol"/>
          <w:sz w:val="23"/>
        </w:rPr>
      </w:pPr>
      <w:r>
        <w:rPr>
          <w:sz w:val="23"/>
        </w:rPr>
        <w:t>Los combustibles que normalmente se </w:t>
      </w:r>
      <w:r>
        <w:rPr>
          <w:spacing w:val="21"/>
          <w:sz w:val="23"/>
        </w:rPr>
        <w:t> </w:t>
      </w:r>
      <w:r>
        <w:rPr>
          <w:sz w:val="23"/>
        </w:rPr>
        <w:t>emplean  en  los</w:t>
      </w:r>
      <w:r>
        <w:rPr>
          <w:spacing w:val="31"/>
          <w:sz w:val="23"/>
        </w:rPr>
        <w:t> </w:t>
      </w:r>
      <w:r>
        <w:rPr>
          <w:sz w:val="23"/>
        </w:rPr>
        <w:t>sistemas</w:t>
        <w:tab/>
        <w:t>de </w:t>
      </w:r>
      <w:r>
        <w:rPr>
          <w:spacing w:val="-3"/>
          <w:sz w:val="23"/>
        </w:rPr>
        <w:t>cogeneración </w:t>
      </w:r>
      <w:r>
        <w:rPr>
          <w:sz w:val="23"/>
        </w:rPr>
        <w:t>son menos contaminantes que los utilizados en los sistemas</w:t>
      </w:r>
      <w:r>
        <w:rPr>
          <w:spacing w:val="57"/>
          <w:sz w:val="23"/>
        </w:rPr>
        <w:t> </w:t>
      </w:r>
      <w:r>
        <w:rPr>
          <w:sz w:val="23"/>
        </w:rPr>
        <w:t>convencionales.</w:t>
      </w:r>
    </w:p>
    <w:p>
      <w:pPr>
        <w:pStyle w:val="ListParagraph"/>
        <w:numPr>
          <w:ilvl w:val="3"/>
          <w:numId w:val="10"/>
        </w:numPr>
        <w:tabs>
          <w:tab w:pos="939" w:val="left" w:leader="none"/>
          <w:tab w:pos="940" w:val="left" w:leader="none"/>
        </w:tabs>
        <w:spacing w:line="235" w:lineRule="auto" w:before="8" w:after="0"/>
        <w:ind w:left="939" w:right="214" w:hanging="360"/>
        <w:jc w:val="left"/>
        <w:rPr>
          <w:rFonts w:ascii="Symbol" w:hAnsi="Symbol"/>
          <w:sz w:val="23"/>
        </w:rPr>
      </w:pPr>
      <w:r>
        <w:rPr>
          <w:sz w:val="23"/>
        </w:rPr>
        <w:t>El impacto ambiental causado por el transporte, refinado y extracción de la energía es menor.</w:t>
      </w:r>
    </w:p>
    <w:p>
      <w:pPr>
        <w:pStyle w:val="BodyText"/>
        <w:spacing w:before="3"/>
        <w:ind w:left="219" w:right="214" w:hanging="1"/>
        <w:jc w:val="both"/>
      </w:pPr>
      <w:r>
        <w:rPr/>
        <w:t>Así mismo, posibilita la industrialización de zonas alejadas de las redes de distribución de alta tensión. En este caso y en el de los polígonos industriales de nueva planta, se puede pensar como política de Estado en la ejecución de plantas de cogeneración que no sólo proporcionen a los industriales residentes la energía eléctrica que necesitan, sino también una parte importante de sus necesidades de energía calorífica.</w:t>
      </w:r>
    </w:p>
    <w:p>
      <w:pPr>
        <w:pStyle w:val="BodyText"/>
      </w:pPr>
    </w:p>
    <w:p>
      <w:pPr>
        <w:pStyle w:val="BodyText"/>
        <w:ind w:left="219" w:right="216"/>
        <w:jc w:val="both"/>
      </w:pPr>
      <w:r>
        <w:rPr/>
        <w:t>Pero para implementar la cogeneración deben cumplirse ciertas condiciones, por lo que pudiera ser necesario:</w:t>
      </w:r>
    </w:p>
    <w:p>
      <w:pPr>
        <w:pStyle w:val="BodyText"/>
        <w:spacing w:before="5"/>
      </w:pPr>
    </w:p>
    <w:p>
      <w:pPr>
        <w:pStyle w:val="ListParagraph"/>
        <w:numPr>
          <w:ilvl w:val="3"/>
          <w:numId w:val="10"/>
        </w:numPr>
        <w:tabs>
          <w:tab w:pos="939" w:val="left" w:leader="none"/>
          <w:tab w:pos="940" w:val="left" w:leader="none"/>
        </w:tabs>
        <w:spacing w:line="235" w:lineRule="auto" w:before="1" w:after="0"/>
        <w:ind w:left="939" w:right="215" w:hanging="360"/>
        <w:jc w:val="left"/>
        <w:rPr>
          <w:rFonts w:ascii="Symbol" w:hAnsi="Symbol"/>
          <w:sz w:val="23"/>
        </w:rPr>
      </w:pPr>
      <w:r>
        <w:rPr>
          <w:sz w:val="23"/>
        </w:rPr>
        <w:t>Revisar la ley eléctrica para que contemple la posibilidad de considerar al cogenerador como posible</w:t>
      </w:r>
      <w:r>
        <w:rPr>
          <w:spacing w:val="1"/>
          <w:sz w:val="23"/>
        </w:rPr>
        <w:t> </w:t>
      </w:r>
      <w:r>
        <w:rPr>
          <w:sz w:val="23"/>
        </w:rPr>
        <w:t>suministrador.</w:t>
      </w:r>
    </w:p>
    <w:p>
      <w:pPr>
        <w:pStyle w:val="BodyText"/>
        <w:spacing w:before="2"/>
      </w:pPr>
    </w:p>
    <w:p>
      <w:pPr>
        <w:pStyle w:val="ListParagraph"/>
        <w:numPr>
          <w:ilvl w:val="3"/>
          <w:numId w:val="10"/>
        </w:numPr>
        <w:tabs>
          <w:tab w:pos="940" w:val="left" w:leader="none"/>
        </w:tabs>
        <w:spacing w:line="240" w:lineRule="auto" w:before="0" w:after="0"/>
        <w:ind w:left="939" w:right="217" w:hanging="360"/>
        <w:jc w:val="both"/>
        <w:rPr>
          <w:rFonts w:ascii="Symbol" w:hAnsi="Symbol"/>
          <w:sz w:val="23"/>
        </w:rPr>
      </w:pPr>
      <w:r>
        <w:rPr>
          <w:sz w:val="23"/>
        </w:rPr>
        <w:t>Aprobar un reglamento de cogeneración en el que se establezcan las condiciones para ser cogenerador y exportar a la red (ya no debería de permitirse en ningún caso la autoproducción o la cogeneración son sistemas deficientes que no tengan  un rendimiento global mínimo), así como las condiciones técnicas que debe cumplir para que la instalación sea aceptada por la compañía</w:t>
      </w:r>
      <w:r>
        <w:rPr>
          <w:spacing w:val="-9"/>
          <w:sz w:val="23"/>
        </w:rPr>
        <w:t> </w:t>
      </w:r>
      <w:r>
        <w:rPr>
          <w:sz w:val="23"/>
        </w:rPr>
        <w:t>eléctrica.</w:t>
      </w:r>
    </w:p>
    <w:p>
      <w:pPr>
        <w:pStyle w:val="BodyText"/>
      </w:pPr>
    </w:p>
    <w:p>
      <w:pPr>
        <w:pStyle w:val="ListParagraph"/>
        <w:numPr>
          <w:ilvl w:val="3"/>
          <w:numId w:val="10"/>
        </w:numPr>
        <w:tabs>
          <w:tab w:pos="940" w:val="left" w:leader="none"/>
        </w:tabs>
        <w:spacing w:line="237" w:lineRule="auto" w:before="0" w:after="0"/>
        <w:ind w:left="939" w:right="213" w:hanging="360"/>
        <w:jc w:val="both"/>
        <w:rPr>
          <w:rFonts w:ascii="Symbol" w:hAnsi="Symbol"/>
          <w:sz w:val="24"/>
        </w:rPr>
      </w:pPr>
      <w:r>
        <w:rPr>
          <w:sz w:val="23"/>
        </w:rPr>
        <w:t>Por último, deben de incluirse cláusulas especiales en el sistema de tarifas para que el cogenerador se encuentre motivado para exportar a la red mediante una prima especial al igual que las energías</w:t>
      </w:r>
      <w:r>
        <w:rPr>
          <w:spacing w:val="-5"/>
          <w:sz w:val="23"/>
        </w:rPr>
        <w:t> </w:t>
      </w:r>
      <w:r>
        <w:rPr>
          <w:sz w:val="23"/>
        </w:rPr>
        <w:t>renovables</w:t>
      </w:r>
      <w:r>
        <w:rPr>
          <w:sz w:val="24"/>
        </w:rPr>
        <w:t>.</w:t>
      </w:r>
    </w:p>
    <w:p>
      <w:pPr>
        <w:pStyle w:val="BodyText"/>
        <w:spacing w:before="6"/>
      </w:pPr>
    </w:p>
    <w:p>
      <w:pPr>
        <w:pStyle w:val="Heading3"/>
        <w:ind w:left="1299"/>
        <w:rPr>
          <w:i/>
        </w:rPr>
      </w:pPr>
      <w:bookmarkStart w:name="_TOC_250077" w:id="22"/>
      <w:bookmarkEnd w:id="22"/>
      <w:r>
        <w:rPr>
          <w:i/>
        </w:rPr>
        <w:t>Demás FER</w:t>
      </w:r>
    </w:p>
    <w:p>
      <w:pPr>
        <w:pStyle w:val="BodyText"/>
        <w:spacing w:before="5"/>
        <w:rPr>
          <w:rFonts w:ascii="Times New Roman"/>
          <w:b/>
          <w:i/>
          <w:sz w:val="26"/>
        </w:rPr>
      </w:pPr>
    </w:p>
    <w:p>
      <w:pPr>
        <w:pStyle w:val="BodyText"/>
        <w:ind w:left="219" w:right="214"/>
        <w:jc w:val="both"/>
      </w:pPr>
      <w:r>
        <w:rPr/>
        <w:t>La participación de las demás FER en la generación de energía eléctrica para el SENI o para la producción de combustibles no resulta tan importante como las anteriormente discutidas, pero sí lo son por otras razones y deben ser por lo tanto promovidos y beneficiados como lo indica la Ley de Incentivo las FER:</w:t>
      </w:r>
    </w:p>
    <w:p>
      <w:pPr>
        <w:pStyle w:val="BodyText"/>
        <w:spacing w:before="3"/>
      </w:pPr>
    </w:p>
    <w:p>
      <w:pPr>
        <w:pStyle w:val="ListParagraph"/>
        <w:numPr>
          <w:ilvl w:val="3"/>
          <w:numId w:val="10"/>
        </w:numPr>
        <w:tabs>
          <w:tab w:pos="940" w:val="left" w:leader="none"/>
        </w:tabs>
        <w:spacing w:line="237" w:lineRule="auto" w:before="0" w:after="0"/>
        <w:ind w:left="939" w:right="215" w:hanging="360"/>
        <w:jc w:val="both"/>
        <w:rPr>
          <w:rFonts w:ascii="Symbol" w:hAnsi="Symbol"/>
          <w:sz w:val="23"/>
        </w:rPr>
      </w:pPr>
      <w:r>
        <w:rPr>
          <w:sz w:val="23"/>
        </w:rPr>
        <w:t>Desechos de biomasa. La utilización de desechos de biomasa vía combustión, plantas de biogás o rellenos sanitarios debe realizarse principalmente por razones de índoles sanitarias y</w:t>
      </w:r>
      <w:r>
        <w:rPr>
          <w:spacing w:val="-2"/>
          <w:sz w:val="23"/>
        </w:rPr>
        <w:t> </w:t>
      </w:r>
      <w:r>
        <w:rPr>
          <w:sz w:val="23"/>
        </w:rPr>
        <w:t>ambientales.</w:t>
      </w:r>
    </w:p>
    <w:p>
      <w:pPr>
        <w:pStyle w:val="BodyText"/>
        <w:spacing w:before="4"/>
      </w:pPr>
    </w:p>
    <w:p>
      <w:pPr>
        <w:pStyle w:val="ListParagraph"/>
        <w:numPr>
          <w:ilvl w:val="3"/>
          <w:numId w:val="10"/>
        </w:numPr>
        <w:tabs>
          <w:tab w:pos="940" w:val="left" w:leader="none"/>
        </w:tabs>
        <w:spacing w:line="237" w:lineRule="auto" w:before="1" w:after="0"/>
        <w:ind w:left="939" w:right="214" w:hanging="360"/>
        <w:jc w:val="both"/>
        <w:rPr>
          <w:rFonts w:ascii="Symbol" w:hAnsi="Symbol"/>
          <w:sz w:val="23"/>
        </w:rPr>
      </w:pPr>
      <w:r>
        <w:rPr>
          <w:sz w:val="23"/>
        </w:rPr>
        <w:t>PCHs. Cuando son viables técnica, económica, financiera y ambientalmente, frente a la</w:t>
      </w:r>
      <w:r>
        <w:rPr>
          <w:spacing w:val="41"/>
          <w:sz w:val="23"/>
        </w:rPr>
        <w:t> </w:t>
      </w:r>
      <w:r>
        <w:rPr>
          <w:sz w:val="23"/>
        </w:rPr>
        <w:t>electrificación</w:t>
      </w:r>
      <w:r>
        <w:rPr>
          <w:spacing w:val="43"/>
          <w:sz w:val="23"/>
        </w:rPr>
        <w:t> </w:t>
      </w:r>
      <w:r>
        <w:rPr>
          <w:sz w:val="23"/>
        </w:rPr>
        <w:t>vía</w:t>
      </w:r>
      <w:r>
        <w:rPr>
          <w:spacing w:val="38"/>
          <w:sz w:val="23"/>
        </w:rPr>
        <w:t> </w:t>
      </w:r>
      <w:r>
        <w:rPr>
          <w:sz w:val="23"/>
        </w:rPr>
        <w:t>red</w:t>
      </w:r>
      <w:r>
        <w:rPr>
          <w:spacing w:val="41"/>
          <w:sz w:val="23"/>
        </w:rPr>
        <w:t> </w:t>
      </w:r>
      <w:r>
        <w:rPr>
          <w:sz w:val="23"/>
        </w:rPr>
        <w:t>o</w:t>
      </w:r>
      <w:r>
        <w:rPr>
          <w:spacing w:val="41"/>
          <w:sz w:val="23"/>
        </w:rPr>
        <w:t> </w:t>
      </w:r>
      <w:r>
        <w:rPr>
          <w:sz w:val="23"/>
        </w:rPr>
        <w:t>SFVs,</w:t>
      </w:r>
      <w:r>
        <w:rPr>
          <w:spacing w:val="41"/>
          <w:sz w:val="23"/>
        </w:rPr>
        <w:t> </w:t>
      </w:r>
      <w:r>
        <w:rPr>
          <w:sz w:val="23"/>
        </w:rPr>
        <w:t>deben</w:t>
      </w:r>
      <w:r>
        <w:rPr>
          <w:spacing w:val="43"/>
          <w:sz w:val="23"/>
        </w:rPr>
        <w:t> </w:t>
      </w:r>
      <w:r>
        <w:rPr>
          <w:sz w:val="23"/>
        </w:rPr>
        <w:t>ser</w:t>
      </w:r>
      <w:r>
        <w:rPr>
          <w:spacing w:val="42"/>
          <w:sz w:val="23"/>
        </w:rPr>
        <w:t> </w:t>
      </w:r>
      <w:r>
        <w:rPr>
          <w:sz w:val="23"/>
        </w:rPr>
        <w:t>igualmente</w:t>
      </w:r>
      <w:r>
        <w:rPr>
          <w:spacing w:val="40"/>
          <w:sz w:val="23"/>
        </w:rPr>
        <w:t> </w:t>
      </w:r>
      <w:r>
        <w:rPr>
          <w:sz w:val="23"/>
        </w:rPr>
        <w:t>promovidas</w:t>
      </w:r>
      <w:r>
        <w:rPr>
          <w:spacing w:val="39"/>
          <w:sz w:val="23"/>
        </w:rPr>
        <w:t> </w:t>
      </w:r>
      <w:r>
        <w:rPr>
          <w:sz w:val="23"/>
        </w:rPr>
        <w:t>dentro</w:t>
      </w:r>
      <w:r>
        <w:rPr>
          <w:spacing w:val="41"/>
          <w:sz w:val="23"/>
        </w:rPr>
        <w:t> </w:t>
      </w:r>
      <w:r>
        <w:rPr>
          <w:sz w:val="23"/>
        </w:rPr>
        <w:t>de</w:t>
      </w:r>
      <w:r>
        <w:rPr>
          <w:spacing w:val="40"/>
          <w:sz w:val="23"/>
        </w:rPr>
        <w:t> </w:t>
      </w:r>
      <w:r>
        <w:rPr>
          <w:sz w:val="23"/>
        </w:rPr>
        <w:t>las</w:t>
      </w:r>
    </w:p>
    <w:p>
      <w:pPr>
        <w:spacing w:after="0" w:line="237" w:lineRule="auto"/>
        <w:jc w:val="both"/>
        <w:rPr>
          <w:rFonts w:ascii="Symbol" w:hAnsi="Symbol"/>
          <w:sz w:val="23"/>
        </w:rPr>
        <w:sectPr>
          <w:pgSz w:w="12240" w:h="15840"/>
          <w:pgMar w:header="718" w:footer="954" w:top="1500" w:bottom="1140" w:left="1220" w:right="1220"/>
        </w:sectPr>
      </w:pPr>
    </w:p>
    <w:p>
      <w:pPr>
        <w:pStyle w:val="BodyText"/>
        <w:tabs>
          <w:tab w:pos="9335" w:val="left" w:leader="none"/>
        </w:tabs>
        <w:spacing w:before="113"/>
        <w:ind w:left="939" w:right="216"/>
      </w:pPr>
      <w:r>
        <w:rPr/>
        <w:t>actividades de  electrificación  rural propias del Estado, de  ONGs </w:t>
      </w:r>
      <w:r>
        <w:rPr>
          <w:spacing w:val="67"/>
        </w:rPr>
        <w:t> </w:t>
      </w:r>
      <w:r>
        <w:rPr/>
        <w:t>o</w:t>
      </w:r>
      <w:r>
        <w:rPr>
          <w:spacing w:val="39"/>
        </w:rPr>
        <w:t> </w:t>
      </w:r>
      <w:r>
        <w:rPr/>
        <w:t>programas</w:t>
        <w:tab/>
      </w:r>
      <w:r>
        <w:rPr>
          <w:spacing w:val="-11"/>
        </w:rPr>
        <w:t>de </w:t>
      </w:r>
      <w:r>
        <w:rPr/>
        <w:t>cooperación internacional.</w:t>
      </w:r>
    </w:p>
    <w:p>
      <w:pPr>
        <w:pStyle w:val="BodyText"/>
        <w:spacing w:before="1"/>
      </w:pPr>
    </w:p>
    <w:p>
      <w:pPr>
        <w:pStyle w:val="ListParagraph"/>
        <w:numPr>
          <w:ilvl w:val="3"/>
          <w:numId w:val="10"/>
        </w:numPr>
        <w:tabs>
          <w:tab w:pos="940" w:val="left" w:leader="none"/>
        </w:tabs>
        <w:spacing w:line="240" w:lineRule="auto" w:before="0" w:after="0"/>
        <w:ind w:left="939" w:right="214" w:hanging="360"/>
        <w:jc w:val="both"/>
        <w:rPr>
          <w:rFonts w:ascii="Symbol" w:hAnsi="Symbol"/>
          <w:sz w:val="23"/>
        </w:rPr>
      </w:pPr>
      <w:r>
        <w:rPr>
          <w:sz w:val="23"/>
        </w:rPr>
        <w:t>Co-combustión de biomasa y carbón. Si bien existe una amplia experiencia en otros países, su utilización merece ser estudiada por cada planta a carbón porque  depende de características propias de las plantas y de condiciones de la biomasa local.</w:t>
      </w:r>
    </w:p>
    <w:p>
      <w:pPr>
        <w:pStyle w:val="BodyText"/>
        <w:spacing w:before="9"/>
        <w:rPr>
          <w:sz w:val="22"/>
        </w:rPr>
      </w:pPr>
    </w:p>
    <w:p>
      <w:pPr>
        <w:pStyle w:val="ListParagraph"/>
        <w:numPr>
          <w:ilvl w:val="3"/>
          <w:numId w:val="10"/>
        </w:numPr>
        <w:tabs>
          <w:tab w:pos="940" w:val="left" w:leader="none"/>
        </w:tabs>
        <w:spacing w:line="240" w:lineRule="auto" w:before="0" w:after="0"/>
        <w:ind w:left="940" w:right="215" w:hanging="361"/>
        <w:jc w:val="both"/>
        <w:rPr>
          <w:rFonts w:ascii="Symbol" w:hAnsi="Symbol"/>
          <w:sz w:val="23"/>
        </w:rPr>
      </w:pPr>
      <w:r>
        <w:rPr>
          <w:sz w:val="23"/>
        </w:rPr>
        <w:t>Pirólisis, introducción de biogás en redes de gas natural, aquafuel</w:t>
      </w:r>
      <w:r>
        <w:rPr>
          <w:sz w:val="23"/>
          <w:vertAlign w:val="superscript"/>
        </w:rPr>
        <w:t>13</w:t>
      </w:r>
      <w:r>
        <w:rPr>
          <w:sz w:val="23"/>
          <w:vertAlign w:val="baseline"/>
        </w:rPr>
        <w:t>, hidrógeno y corrientes marinas. Estas tecnologías se encuentran en desarrollo y antes de ser empleadas en el suministro de energía de RD deben alcanzar su madurez tecnológica, ser comerciales y haber demostrado su viabilidad técnica, económica y ambiental.</w:t>
      </w:r>
    </w:p>
    <w:p>
      <w:pPr>
        <w:pStyle w:val="BodyText"/>
        <w:spacing w:before="10"/>
        <w:rPr>
          <w:sz w:val="22"/>
        </w:rPr>
      </w:pPr>
    </w:p>
    <w:p>
      <w:pPr>
        <w:pStyle w:val="Heading5"/>
        <w:numPr>
          <w:ilvl w:val="2"/>
          <w:numId w:val="10"/>
        </w:numPr>
        <w:tabs>
          <w:tab w:pos="1299" w:val="left" w:leader="none"/>
          <w:tab w:pos="1300" w:val="left" w:leader="none"/>
        </w:tabs>
        <w:spacing w:line="240" w:lineRule="auto" w:before="0" w:after="0"/>
        <w:ind w:left="1299" w:right="0" w:hanging="1080"/>
        <w:jc w:val="left"/>
      </w:pPr>
      <w:bookmarkStart w:name="_TOC_250076" w:id="23"/>
      <w:r>
        <w:rPr/>
        <w:t>Aspectos</w:t>
      </w:r>
      <w:r>
        <w:rPr>
          <w:spacing w:val="-2"/>
        </w:rPr>
        <w:t> </w:t>
      </w:r>
      <w:bookmarkEnd w:id="23"/>
      <w:r>
        <w:rPr/>
        <w:t>institucionales</w:t>
      </w:r>
    </w:p>
    <w:p>
      <w:pPr>
        <w:pStyle w:val="BodyText"/>
        <w:spacing w:before="10"/>
        <w:rPr>
          <w:rFonts w:ascii="Verdana"/>
          <w:b/>
          <w:sz w:val="22"/>
        </w:rPr>
      </w:pPr>
    </w:p>
    <w:p>
      <w:pPr>
        <w:pStyle w:val="ListParagraph"/>
        <w:numPr>
          <w:ilvl w:val="3"/>
          <w:numId w:val="10"/>
        </w:numPr>
        <w:tabs>
          <w:tab w:pos="940" w:val="left" w:leader="none"/>
        </w:tabs>
        <w:spacing w:line="240" w:lineRule="auto" w:before="0" w:after="0"/>
        <w:ind w:left="939" w:right="213" w:hanging="360"/>
        <w:jc w:val="both"/>
        <w:rPr>
          <w:rFonts w:ascii="Symbol" w:hAnsi="Symbol"/>
          <w:sz w:val="23"/>
        </w:rPr>
      </w:pPr>
      <w:r>
        <w:rPr>
          <w:sz w:val="23"/>
        </w:rPr>
        <w:t>La Ley General de Electricidad (LGE 125-00) establece el marco regulatorio del subsector eléctrico en lo referente a la producción, transmisión, distribución y comercialización de electricidad, y a las funciones de los organismos del Estado relacionados con estas materias. La LGE no constituye impedimento alguno para la generación de energía eléctrica con fuentes de energía renovables, dándole a las energías renovables algunas siguientes </w:t>
      </w:r>
      <w:r>
        <w:rPr>
          <w:i/>
          <w:sz w:val="24"/>
        </w:rPr>
        <w:t>preferencias </w:t>
      </w:r>
      <w:r>
        <w:rPr>
          <w:sz w:val="23"/>
        </w:rPr>
        <w:t>ya comentadas al inicio de esta sección. Sin embargo, la LFE introduce ambigüedades en sus alcances, abordando temas más allá de lo estrictamente eléctrico e introduce normatividad en otros subsectores diferentes al eléctrico. Por lo anterior se requiere una Ley Marco para el sector energético en su totalidad que le de coherencia y abarque todos los subsectores, en particular, en los temas institucionales que tienen que ver con los organismos del Estado. Se requiere, entonces de la creación de un Ministerio de Energía que centralice y reemplace las funciones que en materia energética están dispersas en varios Ministerios. Este es un tema que aparece reiterativamente en todos los</w:t>
      </w:r>
      <w:r>
        <w:rPr>
          <w:spacing w:val="-1"/>
          <w:sz w:val="23"/>
        </w:rPr>
        <w:t> </w:t>
      </w:r>
      <w:r>
        <w:rPr>
          <w:sz w:val="23"/>
        </w:rPr>
        <w:t>subsectores.</w:t>
      </w:r>
    </w:p>
    <w:p>
      <w:pPr>
        <w:pStyle w:val="BodyText"/>
        <w:spacing w:before="9"/>
        <w:rPr>
          <w:sz w:val="21"/>
        </w:rPr>
      </w:pPr>
    </w:p>
    <w:p>
      <w:pPr>
        <w:pStyle w:val="ListParagraph"/>
        <w:numPr>
          <w:ilvl w:val="3"/>
          <w:numId w:val="10"/>
        </w:numPr>
        <w:tabs>
          <w:tab w:pos="940" w:val="left" w:leader="none"/>
        </w:tabs>
        <w:spacing w:line="240" w:lineRule="auto" w:before="0" w:after="0"/>
        <w:ind w:left="939" w:right="215" w:hanging="360"/>
        <w:jc w:val="both"/>
        <w:rPr>
          <w:rFonts w:ascii="Symbol" w:hAnsi="Symbol"/>
          <w:sz w:val="23"/>
        </w:rPr>
      </w:pPr>
      <w:r>
        <w:rPr>
          <w:sz w:val="23"/>
        </w:rPr>
        <w:t>Se considera que la Ley de Incentivo a las Energías Renovables y Regímenes Especiales (Ley 57-07) y su reglamentación constituye un logro importante en el desarrollo de las mismas. La ley de incentivos al desarrollo de energía renovables es un instrumento importante para apoyar el desarrollo de energía limpia en República Dominicana. El reglamento a la Ley define una estrategia de incentivos de precio que estimula el desarrollo de los primeros proyectos eólicos, comenzando con un precio de compra de energía alto, el cual se ajustaría gradualmente a  las condiciones de mercado, aplicando procedimientos de libre concurrencia para seleccionar los proyectos más económicos. Los incentivos de precio, en combinación con</w:t>
      </w:r>
      <w:r>
        <w:rPr>
          <w:spacing w:val="47"/>
          <w:sz w:val="23"/>
        </w:rPr>
        <w:t> </w:t>
      </w:r>
      <w:r>
        <w:rPr>
          <w:sz w:val="23"/>
        </w:rPr>
        <w:t>los</w:t>
      </w:r>
      <w:r>
        <w:rPr>
          <w:spacing w:val="47"/>
          <w:sz w:val="23"/>
        </w:rPr>
        <w:t> </w:t>
      </w:r>
      <w:r>
        <w:rPr>
          <w:sz w:val="23"/>
        </w:rPr>
        <w:t>incentivos</w:t>
      </w:r>
      <w:r>
        <w:rPr>
          <w:spacing w:val="44"/>
          <w:sz w:val="23"/>
        </w:rPr>
        <w:t> </w:t>
      </w:r>
      <w:r>
        <w:rPr>
          <w:sz w:val="23"/>
        </w:rPr>
        <w:t>fiscales,</w:t>
      </w:r>
      <w:r>
        <w:rPr>
          <w:spacing w:val="46"/>
          <w:sz w:val="23"/>
        </w:rPr>
        <w:t> </w:t>
      </w:r>
      <w:r>
        <w:rPr>
          <w:sz w:val="23"/>
        </w:rPr>
        <w:t>el</w:t>
      </w:r>
      <w:r>
        <w:rPr>
          <w:spacing w:val="44"/>
          <w:sz w:val="23"/>
        </w:rPr>
        <w:t> </w:t>
      </w:r>
      <w:r>
        <w:rPr>
          <w:sz w:val="23"/>
        </w:rPr>
        <w:t>plan</w:t>
      </w:r>
      <w:r>
        <w:rPr>
          <w:spacing w:val="48"/>
          <w:sz w:val="23"/>
        </w:rPr>
        <w:t> </w:t>
      </w:r>
      <w:r>
        <w:rPr>
          <w:sz w:val="23"/>
        </w:rPr>
        <w:t>de</w:t>
      </w:r>
      <w:r>
        <w:rPr>
          <w:spacing w:val="45"/>
          <w:sz w:val="23"/>
        </w:rPr>
        <w:t> </w:t>
      </w:r>
      <w:r>
        <w:rPr>
          <w:sz w:val="23"/>
        </w:rPr>
        <w:t>fortalecimiento</w:t>
      </w:r>
      <w:r>
        <w:rPr>
          <w:spacing w:val="45"/>
          <w:sz w:val="23"/>
        </w:rPr>
        <w:t> </w:t>
      </w:r>
      <w:r>
        <w:rPr>
          <w:sz w:val="23"/>
        </w:rPr>
        <w:t>de</w:t>
      </w:r>
      <w:r>
        <w:rPr>
          <w:spacing w:val="45"/>
          <w:sz w:val="23"/>
        </w:rPr>
        <w:t> </w:t>
      </w:r>
      <w:r>
        <w:rPr>
          <w:sz w:val="23"/>
        </w:rPr>
        <w:t>la</w:t>
      </w:r>
      <w:r>
        <w:rPr>
          <w:spacing w:val="45"/>
          <w:sz w:val="23"/>
        </w:rPr>
        <w:t> </w:t>
      </w:r>
      <w:r>
        <w:rPr>
          <w:sz w:val="23"/>
        </w:rPr>
        <w:t>red</w:t>
      </w:r>
      <w:r>
        <w:rPr>
          <w:spacing w:val="46"/>
          <w:sz w:val="23"/>
        </w:rPr>
        <w:t> </w:t>
      </w:r>
      <w:r>
        <w:rPr>
          <w:sz w:val="23"/>
        </w:rPr>
        <w:t>de</w:t>
      </w:r>
      <w:r>
        <w:rPr>
          <w:spacing w:val="43"/>
          <w:sz w:val="23"/>
        </w:rPr>
        <w:t> </w:t>
      </w:r>
      <w:r>
        <w:rPr>
          <w:sz w:val="23"/>
        </w:rPr>
        <w:t>transmisión</w:t>
      </w:r>
      <w:r>
        <w:rPr>
          <w:spacing w:val="45"/>
          <w:sz w:val="23"/>
        </w:rPr>
        <w:t> </w:t>
      </w:r>
      <w:r>
        <w:rPr>
          <w:sz w:val="23"/>
        </w:rPr>
        <w:t>y</w:t>
      </w:r>
    </w:p>
    <w:p>
      <w:pPr>
        <w:pStyle w:val="BodyText"/>
        <w:rPr>
          <w:sz w:val="20"/>
        </w:rPr>
      </w:pPr>
    </w:p>
    <w:p>
      <w:pPr>
        <w:pStyle w:val="BodyText"/>
        <w:spacing w:before="1"/>
        <w:rPr>
          <w:sz w:val="10"/>
        </w:rPr>
      </w:pPr>
      <w:r>
        <w:rPr/>
        <w:pict>
          <v:rect style="position:absolute;margin-left:72pt;margin-top:8.08217pt;width:143.999997pt;height:.72pt;mso-position-horizontal-relative:page;mso-position-vertical-relative:paragraph;z-index:-15680000;mso-wrap-distance-left:0;mso-wrap-distance-right:0" filled="true" fillcolor="#000000" stroked="false">
            <v:fill type="solid"/>
            <w10:wrap type="topAndBottom"/>
          </v:rect>
        </w:pict>
      </w:r>
    </w:p>
    <w:p>
      <w:pPr>
        <w:pStyle w:val="ListParagraph"/>
        <w:numPr>
          <w:ilvl w:val="0"/>
          <w:numId w:val="16"/>
        </w:numPr>
        <w:tabs>
          <w:tab w:pos="468" w:val="left" w:leader="none"/>
        </w:tabs>
        <w:spacing w:line="249" w:lineRule="auto" w:before="58" w:after="0"/>
        <w:ind w:left="219" w:right="549" w:firstLine="0"/>
        <w:jc w:val="left"/>
        <w:rPr>
          <w:rFonts w:ascii="Verdana" w:hAnsi="Verdana"/>
          <w:sz w:val="20"/>
        </w:rPr>
      </w:pPr>
      <w:r>
        <w:rPr>
          <w:rFonts w:ascii="Verdana" w:hAnsi="Verdana"/>
          <w:b/>
          <w:sz w:val="20"/>
        </w:rPr>
        <w:t>AquaFuel </w:t>
      </w:r>
      <w:r>
        <w:rPr>
          <w:rFonts w:ascii="Verdana" w:hAnsi="Verdana"/>
          <w:sz w:val="20"/>
        </w:rPr>
        <w:t>= Esencialmente se trata del gas que se forma cuando un arco eléctrico con electrodos de carbono opera sumergido en agua, a partir de agua y</w:t>
      </w:r>
      <w:r>
        <w:rPr>
          <w:rFonts w:ascii="Verdana" w:hAnsi="Verdana"/>
          <w:spacing w:val="-15"/>
          <w:sz w:val="20"/>
        </w:rPr>
        <w:t> </w:t>
      </w:r>
      <w:r>
        <w:rPr>
          <w:rFonts w:ascii="Verdana" w:hAnsi="Verdana"/>
          <w:sz w:val="20"/>
        </w:rPr>
        <w:t>carbón.</w:t>
      </w:r>
    </w:p>
    <w:p>
      <w:pPr>
        <w:spacing w:after="0" w:line="249" w:lineRule="auto"/>
        <w:jc w:val="left"/>
        <w:rPr>
          <w:rFonts w:ascii="Verdana" w:hAnsi="Verdana"/>
          <w:sz w:val="20"/>
        </w:rPr>
        <w:sectPr>
          <w:pgSz w:w="12240" w:h="15840"/>
          <w:pgMar w:header="718" w:footer="954" w:top="1500" w:bottom="1140" w:left="1220" w:right="1220"/>
        </w:sectPr>
      </w:pPr>
    </w:p>
    <w:p>
      <w:pPr>
        <w:pStyle w:val="BodyText"/>
        <w:spacing w:before="113"/>
        <w:ind w:left="939" w:right="215"/>
        <w:jc w:val="both"/>
      </w:pPr>
      <w:r>
        <w:rPr/>
        <w:t>mayores facilidades para el acceso y uso de esta red, facilitaría el desarrollo de estos proyectos. Uno de los aspectos más importantes de esta estrategia es el ajuste gradual del precio de compra de energía a las condiciones de un mercado competitivo. Es conveniente que la estrategia a largo plazo establezca condiciones para mejorar la eficiencia, reducir los costos y desarrollar una industria sostenible de recursos renovables que no dependa de subsidios de precio.</w:t>
      </w:r>
    </w:p>
    <w:p>
      <w:pPr>
        <w:pStyle w:val="BodyText"/>
        <w:spacing w:before="2"/>
      </w:pPr>
    </w:p>
    <w:p>
      <w:pPr>
        <w:pStyle w:val="ListParagraph"/>
        <w:numPr>
          <w:ilvl w:val="1"/>
          <w:numId w:val="16"/>
        </w:numPr>
        <w:tabs>
          <w:tab w:pos="940" w:val="left" w:leader="none"/>
        </w:tabs>
        <w:spacing w:line="240" w:lineRule="auto" w:before="0" w:after="0"/>
        <w:ind w:left="939" w:right="214" w:hanging="360"/>
        <w:jc w:val="both"/>
        <w:rPr>
          <w:sz w:val="23"/>
        </w:rPr>
      </w:pPr>
      <w:r>
        <w:rPr>
          <w:sz w:val="23"/>
        </w:rPr>
        <w:t>Para asegurar el éxito de los proyectos relacionados con energías renovables se requiere de un programa de desarrollo institucional principalmente en la CNE. Paralelo a él, un programa de capacitación en FER que incluya aspectos técnicos, económicos, financieros, legales, regulatorios, fiscales, ambientales y sostenibilidad, que debe extenderse a otras instituciones que participan en el desarrollo de las</w:t>
      </w:r>
      <w:r>
        <w:rPr>
          <w:spacing w:val="-26"/>
          <w:sz w:val="23"/>
        </w:rPr>
        <w:t> </w:t>
      </w:r>
      <w:r>
        <w:rPr>
          <w:sz w:val="23"/>
        </w:rPr>
        <w:t>FER.</w:t>
      </w:r>
    </w:p>
    <w:p>
      <w:pPr>
        <w:pStyle w:val="BodyText"/>
      </w:pPr>
    </w:p>
    <w:p>
      <w:pPr>
        <w:pStyle w:val="ListParagraph"/>
        <w:numPr>
          <w:ilvl w:val="1"/>
          <w:numId w:val="16"/>
        </w:numPr>
        <w:tabs>
          <w:tab w:pos="940" w:val="left" w:leader="none"/>
        </w:tabs>
        <w:spacing w:line="237" w:lineRule="auto" w:before="0" w:after="0"/>
        <w:ind w:left="939" w:right="213" w:hanging="360"/>
        <w:jc w:val="both"/>
        <w:rPr>
          <w:sz w:val="23"/>
        </w:rPr>
      </w:pPr>
      <w:r>
        <w:rPr>
          <w:sz w:val="23"/>
        </w:rPr>
        <w:t>Dada la importancia que tienen los biocombustibles (biodiesel y etanol), la energía eólica y la cogeneración, la CNE debería priorizar y concentrar sus capacidades en estas 4 fuentes. Respecto a las restantes FER se debe adelantar una tarea de observación de su desarrollo a nivel</w:t>
      </w:r>
      <w:r>
        <w:rPr>
          <w:spacing w:val="-2"/>
          <w:sz w:val="23"/>
        </w:rPr>
        <w:t> </w:t>
      </w:r>
      <w:r>
        <w:rPr>
          <w:sz w:val="23"/>
        </w:rPr>
        <w:t>mundial.</w:t>
      </w:r>
    </w:p>
    <w:p>
      <w:pPr>
        <w:pStyle w:val="BodyText"/>
        <w:spacing w:before="9"/>
      </w:pPr>
    </w:p>
    <w:p>
      <w:pPr>
        <w:pStyle w:val="ListParagraph"/>
        <w:numPr>
          <w:ilvl w:val="1"/>
          <w:numId w:val="16"/>
        </w:numPr>
        <w:tabs>
          <w:tab w:pos="940" w:val="left" w:leader="none"/>
        </w:tabs>
        <w:spacing w:line="237" w:lineRule="auto" w:before="0" w:after="0"/>
        <w:ind w:left="939" w:right="216" w:hanging="360"/>
        <w:jc w:val="both"/>
        <w:rPr>
          <w:sz w:val="23"/>
        </w:rPr>
      </w:pPr>
      <w:r>
        <w:rPr>
          <w:sz w:val="23"/>
        </w:rPr>
        <w:t>Por lo tanto, la formulación y el desarrollo de un Programa de Agroenergía surge como una prioridad que debe centrarse en los biocombustibles y en las búsqueda de los beneficios que se pueden derivar de un programa de esta naturaleza que debería ser un objetivo nacional y contar con el apoyo de las autoridades al más alto</w:t>
      </w:r>
      <w:r>
        <w:rPr>
          <w:spacing w:val="-25"/>
          <w:sz w:val="23"/>
        </w:rPr>
        <w:t> </w:t>
      </w:r>
      <w:r>
        <w:rPr>
          <w:sz w:val="23"/>
        </w:rPr>
        <w:t>nivel.</w:t>
      </w:r>
    </w:p>
    <w:p>
      <w:pPr>
        <w:pStyle w:val="BodyText"/>
        <w:spacing w:before="6"/>
      </w:pPr>
    </w:p>
    <w:p>
      <w:pPr>
        <w:pStyle w:val="ListParagraph"/>
        <w:numPr>
          <w:ilvl w:val="1"/>
          <w:numId w:val="16"/>
        </w:numPr>
        <w:tabs>
          <w:tab w:pos="940" w:val="left" w:leader="none"/>
        </w:tabs>
        <w:spacing w:line="237" w:lineRule="auto" w:before="0" w:after="0"/>
        <w:ind w:left="939" w:right="215" w:hanging="360"/>
        <w:jc w:val="both"/>
        <w:rPr>
          <w:sz w:val="23"/>
        </w:rPr>
      </w:pPr>
      <w:r>
        <w:rPr>
          <w:sz w:val="23"/>
        </w:rPr>
        <w:t>Revisar la ley eléctrica para que contemple la posibilidad de considerar al cogenerador como posible suministrador y aprobar un reglamento de cogeneración en el que se establezcan las condiciones para ser cogenerador y exportar a la</w:t>
      </w:r>
      <w:r>
        <w:rPr>
          <w:spacing w:val="-19"/>
          <w:sz w:val="23"/>
        </w:rPr>
        <w:t> </w:t>
      </w:r>
      <w:r>
        <w:rPr>
          <w:sz w:val="23"/>
        </w:rPr>
        <w:t>red.</w:t>
      </w:r>
    </w:p>
    <w:p>
      <w:pPr>
        <w:spacing w:after="0" w:line="237" w:lineRule="auto"/>
        <w:jc w:val="both"/>
        <w:rPr>
          <w:sz w:val="23"/>
        </w:rPr>
        <w:sectPr>
          <w:pgSz w:w="12240" w:h="15840"/>
          <w:pgMar w:header="718" w:footer="954" w:top="1500" w:bottom="1140" w:left="1220" w:right="1220"/>
        </w:sectPr>
      </w:pPr>
    </w:p>
    <w:p>
      <w:pPr>
        <w:pStyle w:val="Heading1"/>
        <w:spacing w:before="99"/>
        <w:rPr>
          <w:rFonts w:ascii="Arial" w:hAnsi="Arial"/>
        </w:rPr>
      </w:pPr>
      <w:r>
        <w:rPr>
          <w:rFonts w:ascii="Arial" w:hAnsi="Arial"/>
        </w:rPr>
        <w:t>CAPÍTULO 3</w:t>
      </w:r>
    </w:p>
    <w:p>
      <w:pPr>
        <w:pStyle w:val="BodyText"/>
        <w:rPr>
          <w:rFonts w:ascii="Arial"/>
          <w:b/>
          <w:sz w:val="28"/>
        </w:rPr>
      </w:pPr>
    </w:p>
    <w:p>
      <w:pPr>
        <w:pStyle w:val="BodyText"/>
        <w:spacing w:before="8"/>
        <w:rPr>
          <w:rFonts w:ascii="Arial"/>
          <w:b/>
          <w:sz w:val="24"/>
        </w:rPr>
      </w:pPr>
    </w:p>
    <w:p>
      <w:pPr>
        <w:pStyle w:val="Heading2"/>
        <w:spacing w:line="480" w:lineRule="auto"/>
        <w:ind w:left="229" w:firstLine="2239"/>
      </w:pPr>
      <w:r>
        <w:rPr/>
        <w:t>DISMINUIR EL COSTO DE LA ENERGÍA DESARROLLAR UNA OFERTA DE ENERGÍA SEGURA Y CONFIABLE</w:t>
      </w:r>
    </w:p>
    <w:p>
      <w:pPr>
        <w:pStyle w:val="BodyText"/>
        <w:spacing w:before="251"/>
        <w:ind w:left="219" w:right="214"/>
        <w:jc w:val="both"/>
      </w:pPr>
      <w:r>
        <w:rPr/>
        <w:t>Los dos objetivos estratégicos abordados en este capítulo están entrelazados estrechamente. En efecto, los lineamientos orientados a reducir el costo de la energía aportan a desarrollar una oferta de energía más confiable y viceversa.</w:t>
      </w:r>
    </w:p>
    <w:p>
      <w:pPr>
        <w:pStyle w:val="BodyText"/>
        <w:spacing w:before="9"/>
      </w:pPr>
    </w:p>
    <w:p>
      <w:pPr>
        <w:spacing w:line="230" w:lineRule="auto" w:before="1"/>
        <w:ind w:left="219" w:right="216" w:firstLine="0"/>
        <w:jc w:val="both"/>
        <w:rPr>
          <w:b/>
          <w:i/>
          <w:sz w:val="24"/>
        </w:rPr>
      </w:pPr>
      <w:r>
        <w:rPr>
          <w:sz w:val="23"/>
        </w:rPr>
        <w:t>Una oferta de energía segura y confiable en el contexto del PEN significa un sistema de abastecimiento sólido y suficiente tanto en sus </w:t>
      </w:r>
      <w:r>
        <w:rPr>
          <w:i/>
          <w:sz w:val="24"/>
        </w:rPr>
        <w:t>aspectos financieros </w:t>
      </w:r>
      <w:r>
        <w:rPr>
          <w:sz w:val="23"/>
        </w:rPr>
        <w:t>como en la </w:t>
      </w:r>
      <w:r>
        <w:rPr>
          <w:i/>
          <w:sz w:val="24"/>
        </w:rPr>
        <w:t>infraestructura física</w:t>
      </w:r>
      <w:r>
        <w:rPr>
          <w:sz w:val="23"/>
        </w:rPr>
        <w:t>. Por lo tanto este objetivo estratégico involucra intrínsecamente el objetivo de </w:t>
      </w:r>
      <w:r>
        <w:rPr>
          <w:b/>
          <w:i/>
          <w:sz w:val="24"/>
        </w:rPr>
        <w:t>construir una infraestructura energética más segura y confiable.</w:t>
      </w:r>
    </w:p>
    <w:p>
      <w:pPr>
        <w:pStyle w:val="BodyText"/>
        <w:spacing w:before="6"/>
        <w:rPr>
          <w:b/>
          <w:i/>
          <w:sz w:val="22"/>
        </w:rPr>
      </w:pPr>
    </w:p>
    <w:p>
      <w:pPr>
        <w:pStyle w:val="BodyText"/>
        <w:spacing w:line="235" w:lineRule="auto"/>
        <w:ind w:left="219" w:right="213" w:hanging="1"/>
        <w:jc w:val="both"/>
      </w:pPr>
      <w:r>
        <w:rPr/>
        <w:t>Así</w:t>
      </w:r>
      <w:r>
        <w:rPr>
          <w:spacing w:val="-10"/>
        </w:rPr>
        <w:t> </w:t>
      </w:r>
      <w:r>
        <w:rPr/>
        <w:t>mismo,</w:t>
      </w:r>
      <w:r>
        <w:rPr>
          <w:spacing w:val="-12"/>
        </w:rPr>
        <w:t> </w:t>
      </w:r>
      <w:r>
        <w:rPr/>
        <w:t>estos</w:t>
      </w:r>
      <w:r>
        <w:rPr>
          <w:spacing w:val="-10"/>
        </w:rPr>
        <w:t> </w:t>
      </w:r>
      <w:r>
        <w:rPr/>
        <w:t>objetivos</w:t>
      </w:r>
      <w:r>
        <w:rPr>
          <w:spacing w:val="-10"/>
        </w:rPr>
        <w:t> </w:t>
      </w:r>
      <w:r>
        <w:rPr/>
        <w:t>estratégicos</w:t>
      </w:r>
      <w:r>
        <w:rPr>
          <w:spacing w:val="-10"/>
        </w:rPr>
        <w:t> </w:t>
      </w:r>
      <w:r>
        <w:rPr/>
        <w:t>deben</w:t>
      </w:r>
      <w:r>
        <w:rPr>
          <w:spacing w:val="-10"/>
        </w:rPr>
        <w:t> </w:t>
      </w:r>
      <w:r>
        <w:rPr/>
        <w:t>promover</w:t>
      </w:r>
      <w:r>
        <w:rPr>
          <w:spacing w:val="-9"/>
        </w:rPr>
        <w:t> </w:t>
      </w:r>
      <w:r>
        <w:rPr/>
        <w:t>también</w:t>
      </w:r>
      <w:r>
        <w:rPr>
          <w:spacing w:val="-10"/>
        </w:rPr>
        <w:t> </w:t>
      </w:r>
      <w:r>
        <w:rPr/>
        <w:t>el</w:t>
      </w:r>
      <w:r>
        <w:rPr>
          <w:spacing w:val="-12"/>
        </w:rPr>
        <w:t> </w:t>
      </w:r>
      <w:r>
        <w:rPr>
          <w:b/>
          <w:i/>
          <w:sz w:val="24"/>
        </w:rPr>
        <w:t>Acceso</w:t>
      </w:r>
      <w:r>
        <w:rPr>
          <w:b/>
          <w:i/>
          <w:spacing w:val="1"/>
          <w:sz w:val="24"/>
        </w:rPr>
        <w:t> </w:t>
      </w:r>
      <w:r>
        <w:rPr>
          <w:b/>
          <w:i/>
          <w:sz w:val="24"/>
        </w:rPr>
        <w:t>universal</w:t>
      </w:r>
      <w:r>
        <w:rPr>
          <w:b/>
          <w:i/>
          <w:spacing w:val="2"/>
          <w:sz w:val="24"/>
        </w:rPr>
        <w:t> </w:t>
      </w:r>
      <w:r>
        <w:rPr>
          <w:b/>
          <w:i/>
          <w:sz w:val="24"/>
        </w:rPr>
        <w:t>a</w:t>
      </w:r>
      <w:r>
        <w:rPr>
          <w:b/>
          <w:i/>
          <w:spacing w:val="-1"/>
          <w:sz w:val="24"/>
        </w:rPr>
        <w:t> </w:t>
      </w:r>
      <w:r>
        <w:rPr>
          <w:b/>
          <w:i/>
          <w:sz w:val="24"/>
        </w:rPr>
        <w:t>la electricidad</w:t>
      </w:r>
      <w:r>
        <w:rPr/>
        <w:t>,</w:t>
      </w:r>
      <w:r>
        <w:rPr>
          <w:spacing w:val="-7"/>
        </w:rPr>
        <w:t> </w:t>
      </w:r>
      <w:r>
        <w:rPr/>
        <w:t>el</w:t>
      </w:r>
      <w:r>
        <w:rPr>
          <w:spacing w:val="-7"/>
        </w:rPr>
        <w:t> </w:t>
      </w:r>
      <w:r>
        <w:rPr/>
        <w:t>cual</w:t>
      </w:r>
      <w:r>
        <w:rPr>
          <w:spacing w:val="-6"/>
        </w:rPr>
        <w:t> </w:t>
      </w:r>
      <w:r>
        <w:rPr/>
        <w:t>puede</w:t>
      </w:r>
      <w:r>
        <w:rPr>
          <w:spacing w:val="-6"/>
        </w:rPr>
        <w:t> </w:t>
      </w:r>
      <w:r>
        <w:rPr/>
        <w:t>considerarse</w:t>
      </w:r>
      <w:r>
        <w:rPr>
          <w:spacing w:val="-6"/>
        </w:rPr>
        <w:t> </w:t>
      </w:r>
      <w:r>
        <w:rPr/>
        <w:t>como</w:t>
      </w:r>
      <w:r>
        <w:rPr>
          <w:spacing w:val="-6"/>
        </w:rPr>
        <w:t> </w:t>
      </w:r>
      <w:r>
        <w:rPr/>
        <w:t>un</w:t>
      </w:r>
      <w:r>
        <w:rPr>
          <w:spacing w:val="-6"/>
        </w:rPr>
        <w:t> </w:t>
      </w:r>
      <w:r>
        <w:rPr/>
        <w:t>objetivo</w:t>
      </w:r>
      <w:r>
        <w:rPr>
          <w:spacing w:val="-7"/>
        </w:rPr>
        <w:t> </w:t>
      </w:r>
      <w:r>
        <w:rPr/>
        <w:t>de</w:t>
      </w:r>
      <w:r>
        <w:rPr>
          <w:spacing w:val="-5"/>
        </w:rPr>
        <w:t> </w:t>
      </w:r>
      <w:r>
        <w:rPr/>
        <w:t>naturaleza</w:t>
      </w:r>
      <w:r>
        <w:rPr>
          <w:spacing w:val="-8"/>
        </w:rPr>
        <w:t> </w:t>
      </w:r>
      <w:r>
        <w:rPr/>
        <w:t>social</w:t>
      </w:r>
      <w:r>
        <w:rPr>
          <w:spacing w:val="-6"/>
        </w:rPr>
        <w:t> </w:t>
      </w:r>
      <w:r>
        <w:rPr/>
        <w:t>derivado</w:t>
      </w:r>
      <w:r>
        <w:rPr>
          <w:spacing w:val="-7"/>
        </w:rPr>
        <w:t> </w:t>
      </w:r>
      <w:r>
        <w:rPr/>
        <w:t>de los anteriores. El </w:t>
      </w:r>
      <w:r>
        <w:rPr>
          <w:b/>
          <w:i/>
          <w:sz w:val="24"/>
        </w:rPr>
        <w:t>Acceso universal a la electricidad </w:t>
      </w:r>
      <w:r>
        <w:rPr/>
        <w:t>requiere en lo fundamental una tarifa accesible y un sistema de generación, transmisión y distribución robusto física y financieramente.</w:t>
      </w:r>
    </w:p>
    <w:p>
      <w:pPr>
        <w:pStyle w:val="BodyText"/>
        <w:spacing w:before="9"/>
        <w:rPr>
          <w:sz w:val="22"/>
        </w:rPr>
      </w:pPr>
    </w:p>
    <w:p>
      <w:pPr>
        <w:pStyle w:val="BodyText"/>
        <w:spacing w:before="1"/>
        <w:ind w:left="220" w:right="216"/>
        <w:jc w:val="both"/>
      </w:pPr>
      <w:r>
        <w:rPr/>
        <w:t>Los temas de este capítulo serán tratados en dos secciones, una orientada al subsector eléctrico y otra al subsector de hidrocarburos. En cada uno de los subsectores se  plantearán los lineamientos orientados a reducir los costos, fortalecer la infraestructura y ampliar el acceso de la población a la</w:t>
      </w:r>
      <w:r>
        <w:rPr>
          <w:spacing w:val="-4"/>
        </w:rPr>
        <w:t> </w:t>
      </w:r>
      <w:r>
        <w:rPr/>
        <w:t>energía.</w:t>
      </w:r>
    </w:p>
    <w:p>
      <w:pPr>
        <w:pStyle w:val="BodyText"/>
        <w:rPr>
          <w:sz w:val="28"/>
        </w:rPr>
      </w:pPr>
    </w:p>
    <w:p>
      <w:pPr>
        <w:pStyle w:val="Heading2"/>
        <w:numPr>
          <w:ilvl w:val="1"/>
          <w:numId w:val="17"/>
        </w:numPr>
        <w:tabs>
          <w:tab w:pos="927" w:val="left" w:leader="none"/>
          <w:tab w:pos="928" w:val="left" w:leader="none"/>
        </w:tabs>
        <w:spacing w:line="240" w:lineRule="auto" w:before="217" w:after="0"/>
        <w:ind w:left="928" w:right="0" w:hanging="708"/>
        <w:jc w:val="left"/>
      </w:pPr>
      <w:bookmarkStart w:name="_TOC_250075" w:id="24"/>
      <w:r>
        <w:rPr/>
        <w:t>LÍNEAS ESTRATÉGICAS DEL SUBSECTOR</w:t>
      </w:r>
      <w:r>
        <w:rPr>
          <w:spacing w:val="-6"/>
        </w:rPr>
        <w:t> </w:t>
      </w:r>
      <w:bookmarkEnd w:id="24"/>
      <w:r>
        <w:rPr/>
        <w:t>ELÉCTRICO</w:t>
      </w:r>
    </w:p>
    <w:p>
      <w:pPr>
        <w:pStyle w:val="BodyText"/>
        <w:spacing w:before="11"/>
        <w:rPr>
          <w:rFonts w:ascii="Verdana"/>
          <w:b/>
        </w:rPr>
      </w:pPr>
    </w:p>
    <w:p>
      <w:pPr>
        <w:pStyle w:val="BodyText"/>
        <w:ind w:left="219" w:right="214"/>
        <w:jc w:val="both"/>
      </w:pPr>
      <w:r>
        <w:rPr/>
        <w:t>Para desarrollar las líneas estratégicas del sector eléctrico dominicano encaminadas a reducir los costos y desarrollar un abastecimiento confiable se separan los objetivos de corto y mediano plazo de los de largo plazo</w:t>
      </w:r>
      <w:r>
        <w:rPr>
          <w:vertAlign w:val="superscript"/>
        </w:rPr>
        <w:t>14</w:t>
      </w:r>
      <w:r>
        <w:rPr>
          <w:vertAlign w:val="baseline"/>
        </w:rPr>
        <w:t>, teniendo en cuenta que la crítica situación de este sector requiere especial atención a medidas de inmediata</w:t>
      </w:r>
      <w:r>
        <w:rPr>
          <w:spacing w:val="-8"/>
          <w:vertAlign w:val="baseline"/>
        </w:rPr>
        <w:t> </w:t>
      </w:r>
      <w:r>
        <w:rPr>
          <w:vertAlign w:val="baseline"/>
        </w:rPr>
        <w:t>aplicación.</w:t>
      </w:r>
    </w:p>
    <w:p>
      <w:pPr>
        <w:pStyle w:val="BodyText"/>
        <w:spacing w:before="4"/>
      </w:pPr>
    </w:p>
    <w:p>
      <w:pPr>
        <w:spacing w:line="235" w:lineRule="auto" w:before="0"/>
        <w:ind w:left="219" w:right="215" w:firstLine="0"/>
        <w:jc w:val="both"/>
        <w:rPr>
          <w:sz w:val="22"/>
        </w:rPr>
      </w:pPr>
      <w:r>
        <w:rPr>
          <w:sz w:val="23"/>
        </w:rPr>
        <w:t>Los lineamientos de corto plazo corresponden al </w:t>
      </w:r>
      <w:r>
        <w:rPr>
          <w:b/>
          <w:i/>
          <w:sz w:val="23"/>
        </w:rPr>
        <w:t>Plan de acción para modernizar el sector eléctrico en la República Dominicana, </w:t>
      </w:r>
      <w:r>
        <w:rPr>
          <w:sz w:val="22"/>
        </w:rPr>
        <w:t>desarrollado conjuntamente por el Banco Mundial y el BID en agosto de 2009.</w:t>
      </w:r>
    </w:p>
    <w:p>
      <w:pPr>
        <w:pStyle w:val="BodyText"/>
        <w:rPr>
          <w:sz w:val="20"/>
        </w:rPr>
      </w:pPr>
    </w:p>
    <w:p>
      <w:pPr>
        <w:pStyle w:val="BodyText"/>
        <w:rPr>
          <w:sz w:val="20"/>
        </w:rPr>
      </w:pPr>
    </w:p>
    <w:p>
      <w:pPr>
        <w:pStyle w:val="BodyText"/>
        <w:rPr>
          <w:sz w:val="20"/>
        </w:rPr>
      </w:pPr>
    </w:p>
    <w:p>
      <w:pPr>
        <w:pStyle w:val="BodyText"/>
        <w:spacing w:before="5"/>
        <w:rPr>
          <w:sz w:val="25"/>
        </w:rPr>
      </w:pPr>
      <w:r>
        <w:rPr/>
        <w:pict>
          <v:rect style="position:absolute;margin-left:72pt;margin-top:17.30632pt;width:143.999997pt;height:.72pt;mso-position-horizontal-relative:page;mso-position-vertical-relative:paragraph;z-index:-15679488;mso-wrap-distance-left:0;mso-wrap-distance-right:0" filled="true" fillcolor="#000000" stroked="false">
            <v:fill type="solid"/>
            <w10:wrap type="topAndBottom"/>
          </v:rect>
        </w:pict>
      </w:r>
    </w:p>
    <w:p>
      <w:pPr>
        <w:spacing w:before="91"/>
        <w:ind w:left="219" w:right="315" w:firstLine="0"/>
        <w:jc w:val="left"/>
        <w:rPr>
          <w:rFonts w:ascii="Verdana" w:hAnsi="Verdana"/>
          <w:sz w:val="20"/>
        </w:rPr>
      </w:pPr>
      <w:r>
        <w:rPr>
          <w:rFonts w:ascii="Verdana" w:hAnsi="Verdana"/>
          <w:sz w:val="20"/>
          <w:vertAlign w:val="superscript"/>
        </w:rPr>
        <w:t>14</w:t>
      </w:r>
      <w:r>
        <w:rPr>
          <w:rFonts w:ascii="Verdana" w:hAnsi="Verdana"/>
          <w:sz w:val="20"/>
          <w:vertAlign w:val="baseline"/>
        </w:rPr>
        <w:t> Para el sector eléctrico se entiende corto plazo 12 meses, mediano plazo 3 años y largo plazo más de 3 años.</w:t>
      </w:r>
    </w:p>
    <w:p>
      <w:pPr>
        <w:spacing w:after="0"/>
        <w:jc w:val="left"/>
        <w:rPr>
          <w:rFonts w:ascii="Verdana" w:hAnsi="Verdana"/>
          <w:sz w:val="20"/>
        </w:rPr>
        <w:sectPr>
          <w:pgSz w:w="12240" w:h="15840"/>
          <w:pgMar w:header="718" w:footer="954" w:top="1500" w:bottom="1140" w:left="1220" w:right="1220"/>
        </w:sectPr>
      </w:pPr>
    </w:p>
    <w:p>
      <w:pPr>
        <w:pStyle w:val="Heading5"/>
        <w:numPr>
          <w:ilvl w:val="2"/>
          <w:numId w:val="17"/>
        </w:numPr>
        <w:tabs>
          <w:tab w:pos="1299" w:val="left" w:leader="none"/>
          <w:tab w:pos="1300" w:val="left" w:leader="none"/>
        </w:tabs>
        <w:spacing w:line="240" w:lineRule="auto" w:before="114" w:after="0"/>
        <w:ind w:left="1299" w:right="217" w:hanging="1080"/>
        <w:jc w:val="left"/>
      </w:pPr>
      <w:r>
        <w:rPr/>
        <w:t>Líneas estratégicas de corto y mediano plazo: Plan de acción para modernizar el sector</w:t>
      </w:r>
      <w:r>
        <w:rPr>
          <w:spacing w:val="-3"/>
        </w:rPr>
        <w:t> </w:t>
      </w:r>
      <w:r>
        <w:rPr/>
        <w:t>eléctrico</w:t>
      </w:r>
      <w:r>
        <w:rPr>
          <w:vertAlign w:val="superscript"/>
        </w:rPr>
        <w:t>15</w:t>
      </w:r>
    </w:p>
    <w:p>
      <w:pPr>
        <w:pStyle w:val="BodyText"/>
        <w:spacing w:before="9"/>
        <w:rPr>
          <w:rFonts w:ascii="Verdana"/>
          <w:b/>
        </w:rPr>
      </w:pPr>
    </w:p>
    <w:p>
      <w:pPr>
        <w:pStyle w:val="BodyText"/>
        <w:spacing w:before="1"/>
        <w:ind w:left="220" w:right="214"/>
        <w:jc w:val="both"/>
      </w:pPr>
      <w:r>
        <w:rPr/>
        <w:t>Las crisis del sector eléctrico en República Dominicana no son un fenómeno nuevo. Por el contrario, el sector eléctrico dominicano ha venido atravesando por crisis periódicas a lo largo de las últimas décadas, y lo que es más interesante, estas crisis han presentado un patrón recurrente que viene dado por la siguiente secuencia: (1) </w:t>
      </w:r>
      <w:r>
        <w:rPr>
          <w:i/>
          <w:sz w:val="24"/>
        </w:rPr>
        <w:t>shocks </w:t>
      </w:r>
      <w:r>
        <w:rPr/>
        <w:t>petroleros o cambiarios frente a lo cual el Gobierno implementa medidas de congelamiento de tarifas y asume el compromiso de cubrir la diferencia entre las tarifas congeladas y las tarifas contractuales; (2) el incumplimiento de dichos compromisos por parte del Gobierno ante la falta de recursos financieros; (3) apagones y racionamientos de electricidad debido a que los generadores no reciben el pago por la energía que producen, lo que exacerba el descontento de la población. Estas crisis recurrentes, sumadas a una extendida cultura del no-pago (en donde el hurto eléctrico y el fraude son permitidos sin consecuencias), inciden cada vez más en el deterioro del sector</w:t>
      </w:r>
      <w:r>
        <w:rPr>
          <w:spacing w:val="-7"/>
        </w:rPr>
        <w:t> </w:t>
      </w:r>
      <w:r>
        <w:rPr/>
        <w:t>eléctrico.</w:t>
      </w:r>
    </w:p>
    <w:p>
      <w:pPr>
        <w:pStyle w:val="BodyText"/>
        <w:rPr>
          <w:sz w:val="22"/>
        </w:rPr>
      </w:pPr>
    </w:p>
    <w:p>
      <w:pPr>
        <w:pStyle w:val="BodyText"/>
        <w:ind w:left="220" w:right="215"/>
        <w:jc w:val="both"/>
      </w:pPr>
      <w:r>
        <w:rPr/>
        <w:t>Las crisis recurrentes y la incapacidad de adoptar medidas eficaces a lo largo de décadas, han configurado un círculo vicioso donde los apagones y el racionamiento de electricidad son consecuencia directa del hurto y no pago de un porcentaje muy alto de consumidores y usuarios, lo cual sumado a tarifas que no cubren costos, genera un déficit financiero  crónico en el sector. Esta falta de recursos financieros no sólo limita la inversión necesaria para su mantenimiento y modernización, sino que compromete el pago de los combustibles necesarios para garantizar una generación eléctrica sin</w:t>
      </w:r>
      <w:r>
        <w:rPr>
          <w:spacing w:val="-6"/>
        </w:rPr>
        <w:t> </w:t>
      </w:r>
      <w:r>
        <w:rPr/>
        <w:t>interrupciones.</w:t>
      </w:r>
    </w:p>
    <w:p>
      <w:pPr>
        <w:pStyle w:val="BodyText"/>
        <w:spacing w:before="11"/>
        <w:rPr>
          <w:sz w:val="22"/>
        </w:rPr>
      </w:pPr>
    </w:p>
    <w:p>
      <w:pPr>
        <w:pStyle w:val="BodyText"/>
        <w:ind w:left="220"/>
        <w:jc w:val="both"/>
      </w:pPr>
      <w:r>
        <w:rPr/>
        <w:t>El sector eléctrico presenta una crisis estructural que tiene como causas principales:</w:t>
      </w:r>
    </w:p>
    <w:p>
      <w:pPr>
        <w:pStyle w:val="BodyText"/>
        <w:spacing w:before="2"/>
      </w:pPr>
    </w:p>
    <w:p>
      <w:pPr>
        <w:pStyle w:val="ListParagraph"/>
        <w:numPr>
          <w:ilvl w:val="0"/>
          <w:numId w:val="18"/>
        </w:numPr>
        <w:tabs>
          <w:tab w:pos="786" w:val="left" w:leader="none"/>
          <w:tab w:pos="787" w:val="left" w:leader="none"/>
        </w:tabs>
        <w:spacing w:line="240" w:lineRule="auto" w:before="0" w:after="0"/>
        <w:ind w:left="786" w:right="214" w:hanging="567"/>
        <w:jc w:val="left"/>
        <w:rPr>
          <w:sz w:val="23"/>
        </w:rPr>
      </w:pPr>
      <w:r>
        <w:rPr>
          <w:sz w:val="23"/>
        </w:rPr>
        <w:t>Tarifas que no cubren costos ni promueven eficiencia en la cadena de producción del servicio</w:t>
      </w:r>
      <w:r>
        <w:rPr>
          <w:spacing w:val="-1"/>
          <w:sz w:val="23"/>
        </w:rPr>
        <w:t> </w:t>
      </w:r>
      <w:r>
        <w:rPr>
          <w:sz w:val="23"/>
        </w:rPr>
        <w:t>eléctrico.</w:t>
      </w:r>
    </w:p>
    <w:p>
      <w:pPr>
        <w:pStyle w:val="ListParagraph"/>
        <w:numPr>
          <w:ilvl w:val="0"/>
          <w:numId w:val="18"/>
        </w:numPr>
        <w:tabs>
          <w:tab w:pos="786" w:val="left" w:leader="none"/>
          <w:tab w:pos="787" w:val="left" w:leader="none"/>
        </w:tabs>
        <w:spacing w:line="240" w:lineRule="auto" w:before="0" w:after="0"/>
        <w:ind w:left="786" w:right="214" w:hanging="567"/>
        <w:jc w:val="left"/>
        <w:rPr>
          <w:sz w:val="23"/>
        </w:rPr>
      </w:pPr>
      <w:r>
        <w:rPr>
          <w:sz w:val="23"/>
        </w:rPr>
        <w:t>Muy altos niveles de pérdidas técnicas y no técnicas, como producto de la ineficiencia de las empresas de distribución y de la cultura del</w:t>
      </w:r>
      <w:r>
        <w:rPr>
          <w:spacing w:val="-6"/>
          <w:sz w:val="23"/>
        </w:rPr>
        <w:t> </w:t>
      </w:r>
      <w:r>
        <w:rPr>
          <w:sz w:val="23"/>
        </w:rPr>
        <w:t>no-pago.</w:t>
      </w:r>
    </w:p>
    <w:p>
      <w:pPr>
        <w:pStyle w:val="ListParagraph"/>
        <w:numPr>
          <w:ilvl w:val="0"/>
          <w:numId w:val="18"/>
        </w:numPr>
        <w:tabs>
          <w:tab w:pos="786" w:val="left" w:leader="none"/>
          <w:tab w:pos="787" w:val="left" w:leader="none"/>
        </w:tabs>
        <w:spacing w:line="240" w:lineRule="auto" w:before="0" w:after="0"/>
        <w:ind w:left="786" w:right="215" w:hanging="567"/>
        <w:jc w:val="left"/>
        <w:rPr>
          <w:sz w:val="23"/>
        </w:rPr>
      </w:pPr>
      <w:r>
        <w:rPr>
          <w:sz w:val="23"/>
        </w:rPr>
        <w:t>Subsidios no focalizados que fomentan el despilfarro y que son regresivos desde el punto de vista</w:t>
      </w:r>
      <w:r>
        <w:rPr>
          <w:spacing w:val="-1"/>
          <w:sz w:val="23"/>
        </w:rPr>
        <w:t> </w:t>
      </w:r>
      <w:r>
        <w:rPr>
          <w:sz w:val="23"/>
        </w:rPr>
        <w:t>distributivo.</w:t>
      </w:r>
    </w:p>
    <w:p>
      <w:pPr>
        <w:pStyle w:val="ListParagraph"/>
        <w:numPr>
          <w:ilvl w:val="0"/>
          <w:numId w:val="18"/>
        </w:numPr>
        <w:tabs>
          <w:tab w:pos="786" w:val="left" w:leader="none"/>
          <w:tab w:pos="787" w:val="left" w:leader="none"/>
        </w:tabs>
        <w:spacing w:line="240" w:lineRule="auto" w:before="0" w:after="0"/>
        <w:ind w:left="786" w:right="216" w:hanging="567"/>
        <w:jc w:val="left"/>
        <w:rPr>
          <w:sz w:val="23"/>
        </w:rPr>
      </w:pPr>
      <w:r>
        <w:rPr>
          <w:sz w:val="23"/>
        </w:rPr>
        <w:t>Inadecuada institucionalidad con graves falencias en la planificación sectorial y una excesiva</w:t>
      </w:r>
      <w:r>
        <w:rPr>
          <w:spacing w:val="-2"/>
          <w:sz w:val="23"/>
        </w:rPr>
        <w:t> </w:t>
      </w:r>
      <w:r>
        <w:rPr>
          <w:sz w:val="23"/>
        </w:rPr>
        <w:t>burocratización.</w:t>
      </w:r>
    </w:p>
    <w:p>
      <w:pPr>
        <w:pStyle w:val="ListParagraph"/>
        <w:numPr>
          <w:ilvl w:val="0"/>
          <w:numId w:val="18"/>
        </w:numPr>
        <w:tabs>
          <w:tab w:pos="786" w:val="left" w:leader="none"/>
          <w:tab w:pos="787" w:val="left" w:leader="none"/>
        </w:tabs>
        <w:spacing w:line="277" w:lineRule="exact" w:before="0" w:after="0"/>
        <w:ind w:left="786" w:right="0" w:hanging="568"/>
        <w:jc w:val="left"/>
        <w:rPr>
          <w:sz w:val="23"/>
        </w:rPr>
      </w:pPr>
      <w:r>
        <w:rPr>
          <w:sz w:val="23"/>
        </w:rPr>
        <w:t>Alta dependencia de combustibles derivados del</w:t>
      </w:r>
      <w:r>
        <w:rPr>
          <w:spacing w:val="-4"/>
          <w:sz w:val="23"/>
        </w:rPr>
        <w:t> </w:t>
      </w:r>
      <w:r>
        <w:rPr>
          <w:sz w:val="23"/>
        </w:rPr>
        <w:t>petróleo.</w:t>
      </w:r>
    </w:p>
    <w:p>
      <w:pPr>
        <w:pStyle w:val="BodyText"/>
        <w:rPr>
          <w:sz w:val="20"/>
        </w:rPr>
      </w:pPr>
    </w:p>
    <w:p>
      <w:pPr>
        <w:pStyle w:val="BodyText"/>
        <w:rPr>
          <w:sz w:val="20"/>
        </w:rPr>
      </w:pPr>
    </w:p>
    <w:p>
      <w:pPr>
        <w:pStyle w:val="BodyText"/>
        <w:rPr>
          <w:sz w:val="20"/>
        </w:rPr>
      </w:pPr>
    </w:p>
    <w:p>
      <w:pPr>
        <w:pStyle w:val="BodyText"/>
        <w:rPr>
          <w:sz w:val="29"/>
        </w:rPr>
      </w:pPr>
      <w:r>
        <w:rPr/>
        <w:pict>
          <v:rect style="position:absolute;margin-left:72pt;margin-top:19.492512pt;width:143.999997pt;height:.72pt;mso-position-horizontal-relative:page;mso-position-vertical-relative:paragraph;z-index:-15678976;mso-wrap-distance-left:0;mso-wrap-distance-right:0" filled="true" fillcolor="#000000" stroked="false">
            <v:fill type="solid"/>
            <w10:wrap type="topAndBottom"/>
          </v:rect>
        </w:pict>
      </w:r>
    </w:p>
    <w:p>
      <w:pPr>
        <w:spacing w:before="56"/>
        <w:ind w:left="219" w:right="0" w:firstLine="0"/>
        <w:jc w:val="both"/>
        <w:rPr>
          <w:rFonts w:ascii="Verdana" w:hAnsi="Verdana"/>
          <w:sz w:val="20"/>
        </w:rPr>
      </w:pPr>
      <w:r>
        <w:rPr>
          <w:position w:val="11"/>
          <w:sz w:val="16"/>
        </w:rPr>
        <w:t>15</w:t>
      </w:r>
      <w:r>
        <w:rPr>
          <w:spacing w:val="21"/>
          <w:position w:val="11"/>
          <w:sz w:val="16"/>
        </w:rPr>
        <w:t> </w:t>
      </w:r>
      <w:r>
        <w:rPr>
          <w:rFonts w:ascii="Verdana" w:hAnsi="Verdana"/>
          <w:sz w:val="20"/>
        </w:rPr>
        <w:t>La</w:t>
      </w:r>
      <w:r>
        <w:rPr>
          <w:rFonts w:ascii="Verdana" w:hAnsi="Verdana"/>
          <w:spacing w:val="16"/>
          <w:sz w:val="20"/>
        </w:rPr>
        <w:t> </w:t>
      </w:r>
      <w:r>
        <w:rPr>
          <w:rFonts w:ascii="Verdana" w:hAnsi="Verdana"/>
          <w:sz w:val="20"/>
        </w:rPr>
        <w:t>información,</w:t>
      </w:r>
      <w:r>
        <w:rPr>
          <w:rFonts w:ascii="Verdana" w:hAnsi="Verdana"/>
          <w:spacing w:val="14"/>
          <w:sz w:val="20"/>
        </w:rPr>
        <w:t> </w:t>
      </w:r>
      <w:r>
        <w:rPr>
          <w:rFonts w:ascii="Verdana" w:hAnsi="Verdana"/>
          <w:sz w:val="20"/>
        </w:rPr>
        <w:t>análisis</w:t>
      </w:r>
      <w:r>
        <w:rPr>
          <w:rFonts w:ascii="Verdana" w:hAnsi="Verdana"/>
          <w:spacing w:val="14"/>
          <w:sz w:val="20"/>
        </w:rPr>
        <w:t> </w:t>
      </w:r>
      <w:r>
        <w:rPr>
          <w:rFonts w:ascii="Verdana" w:hAnsi="Verdana"/>
          <w:sz w:val="20"/>
        </w:rPr>
        <w:t>y</w:t>
      </w:r>
      <w:r>
        <w:rPr>
          <w:rFonts w:ascii="Verdana" w:hAnsi="Verdana"/>
          <w:spacing w:val="14"/>
          <w:sz w:val="20"/>
        </w:rPr>
        <w:t> </w:t>
      </w:r>
      <w:r>
        <w:rPr>
          <w:rFonts w:ascii="Verdana" w:hAnsi="Verdana"/>
          <w:sz w:val="20"/>
        </w:rPr>
        <w:t>lineamientos</w:t>
      </w:r>
      <w:r>
        <w:rPr>
          <w:rFonts w:ascii="Verdana" w:hAnsi="Verdana"/>
          <w:spacing w:val="15"/>
          <w:sz w:val="20"/>
        </w:rPr>
        <w:t> </w:t>
      </w:r>
      <w:r>
        <w:rPr>
          <w:rFonts w:ascii="Verdana" w:hAnsi="Verdana"/>
          <w:sz w:val="20"/>
        </w:rPr>
        <w:t>estratégicos</w:t>
      </w:r>
      <w:r>
        <w:rPr>
          <w:rFonts w:ascii="Verdana" w:hAnsi="Verdana"/>
          <w:spacing w:val="16"/>
          <w:sz w:val="20"/>
        </w:rPr>
        <w:t> </w:t>
      </w:r>
      <w:r>
        <w:rPr>
          <w:rFonts w:ascii="Verdana" w:hAnsi="Verdana"/>
          <w:sz w:val="20"/>
        </w:rPr>
        <w:t>están</w:t>
      </w:r>
      <w:r>
        <w:rPr>
          <w:rFonts w:ascii="Verdana" w:hAnsi="Verdana"/>
          <w:spacing w:val="16"/>
          <w:sz w:val="20"/>
        </w:rPr>
        <w:t> </w:t>
      </w:r>
      <w:r>
        <w:rPr>
          <w:rFonts w:ascii="Verdana" w:hAnsi="Verdana"/>
          <w:sz w:val="20"/>
        </w:rPr>
        <w:t>sustentados</w:t>
      </w:r>
      <w:r>
        <w:rPr>
          <w:rFonts w:ascii="Verdana" w:hAnsi="Verdana"/>
          <w:spacing w:val="16"/>
          <w:sz w:val="20"/>
        </w:rPr>
        <w:t> </w:t>
      </w:r>
      <w:r>
        <w:rPr>
          <w:rFonts w:ascii="Verdana" w:hAnsi="Verdana"/>
          <w:sz w:val="20"/>
        </w:rPr>
        <w:t>en</w:t>
      </w:r>
      <w:r>
        <w:rPr>
          <w:rFonts w:ascii="Verdana" w:hAnsi="Verdana"/>
          <w:spacing w:val="16"/>
          <w:sz w:val="20"/>
        </w:rPr>
        <w:t> </w:t>
      </w:r>
      <w:r>
        <w:rPr>
          <w:rFonts w:ascii="Verdana" w:hAnsi="Verdana"/>
          <w:sz w:val="20"/>
        </w:rPr>
        <w:t>el</w:t>
      </w:r>
      <w:r>
        <w:rPr>
          <w:rFonts w:ascii="Verdana" w:hAnsi="Verdana"/>
          <w:spacing w:val="17"/>
          <w:sz w:val="20"/>
        </w:rPr>
        <w:t> </w:t>
      </w:r>
      <w:r>
        <w:rPr>
          <w:rFonts w:ascii="Verdana" w:hAnsi="Verdana"/>
          <w:sz w:val="20"/>
        </w:rPr>
        <w:t>documento:</w:t>
      </w:r>
    </w:p>
    <w:p>
      <w:pPr>
        <w:spacing w:line="243" w:lineRule="exact" w:before="11"/>
        <w:ind w:left="219" w:right="0" w:firstLine="0"/>
        <w:jc w:val="both"/>
        <w:rPr>
          <w:rFonts w:ascii="Verdana" w:hAnsi="Verdana"/>
          <w:b/>
          <w:sz w:val="20"/>
        </w:rPr>
      </w:pPr>
      <w:r>
        <w:rPr>
          <w:rFonts w:ascii="Verdana" w:hAnsi="Verdana"/>
          <w:b/>
          <w:sz w:val="20"/>
        </w:rPr>
        <w:t>PLAN</w:t>
      </w:r>
      <w:r>
        <w:rPr>
          <w:rFonts w:ascii="Verdana" w:hAnsi="Verdana"/>
          <w:b/>
          <w:spacing w:val="39"/>
          <w:sz w:val="20"/>
        </w:rPr>
        <w:t> </w:t>
      </w:r>
      <w:r>
        <w:rPr>
          <w:rFonts w:ascii="Verdana" w:hAnsi="Verdana"/>
          <w:b/>
          <w:sz w:val="20"/>
        </w:rPr>
        <w:t>DE</w:t>
      </w:r>
      <w:r>
        <w:rPr>
          <w:rFonts w:ascii="Verdana" w:hAnsi="Verdana"/>
          <w:b/>
          <w:spacing w:val="42"/>
          <w:sz w:val="20"/>
        </w:rPr>
        <w:t> </w:t>
      </w:r>
      <w:r>
        <w:rPr>
          <w:rFonts w:ascii="Verdana" w:hAnsi="Verdana"/>
          <w:b/>
          <w:sz w:val="20"/>
        </w:rPr>
        <w:t>ACCIÓN</w:t>
      </w:r>
      <w:r>
        <w:rPr>
          <w:rFonts w:ascii="Verdana" w:hAnsi="Verdana"/>
          <w:b/>
          <w:spacing w:val="40"/>
          <w:sz w:val="20"/>
        </w:rPr>
        <w:t> </w:t>
      </w:r>
      <w:r>
        <w:rPr>
          <w:rFonts w:ascii="Verdana" w:hAnsi="Verdana"/>
          <w:b/>
          <w:sz w:val="20"/>
        </w:rPr>
        <w:t>PARA</w:t>
      </w:r>
      <w:r>
        <w:rPr>
          <w:rFonts w:ascii="Verdana" w:hAnsi="Verdana"/>
          <w:b/>
          <w:spacing w:val="37"/>
          <w:sz w:val="20"/>
        </w:rPr>
        <w:t> </w:t>
      </w:r>
      <w:r>
        <w:rPr>
          <w:rFonts w:ascii="Verdana" w:hAnsi="Verdana"/>
          <w:b/>
          <w:sz w:val="20"/>
        </w:rPr>
        <w:t>MODERNIZAR</w:t>
      </w:r>
      <w:r>
        <w:rPr>
          <w:rFonts w:ascii="Verdana" w:hAnsi="Verdana"/>
          <w:b/>
          <w:spacing w:val="40"/>
          <w:sz w:val="20"/>
        </w:rPr>
        <w:t> </w:t>
      </w:r>
      <w:r>
        <w:rPr>
          <w:rFonts w:ascii="Verdana" w:hAnsi="Verdana"/>
          <w:b/>
          <w:sz w:val="20"/>
        </w:rPr>
        <w:t>EL</w:t>
      </w:r>
      <w:r>
        <w:rPr>
          <w:rFonts w:ascii="Verdana" w:hAnsi="Verdana"/>
          <w:b/>
          <w:spacing w:val="40"/>
          <w:sz w:val="20"/>
        </w:rPr>
        <w:t> </w:t>
      </w:r>
      <w:r>
        <w:rPr>
          <w:rFonts w:ascii="Verdana" w:hAnsi="Verdana"/>
          <w:b/>
          <w:sz w:val="20"/>
        </w:rPr>
        <w:t>SECTOR</w:t>
      </w:r>
      <w:r>
        <w:rPr>
          <w:rFonts w:ascii="Verdana" w:hAnsi="Verdana"/>
          <w:b/>
          <w:spacing w:val="39"/>
          <w:sz w:val="20"/>
        </w:rPr>
        <w:t> </w:t>
      </w:r>
      <w:r>
        <w:rPr>
          <w:rFonts w:ascii="Verdana" w:hAnsi="Verdana"/>
          <w:b/>
          <w:sz w:val="20"/>
        </w:rPr>
        <w:t>ELÉCTRICO</w:t>
      </w:r>
      <w:r>
        <w:rPr>
          <w:rFonts w:ascii="Verdana" w:hAnsi="Verdana"/>
          <w:b/>
          <w:spacing w:val="42"/>
          <w:sz w:val="20"/>
        </w:rPr>
        <w:t> </w:t>
      </w:r>
      <w:r>
        <w:rPr>
          <w:rFonts w:ascii="Verdana" w:hAnsi="Verdana"/>
          <w:b/>
          <w:sz w:val="20"/>
        </w:rPr>
        <w:t>EN</w:t>
      </w:r>
      <w:r>
        <w:rPr>
          <w:rFonts w:ascii="Verdana" w:hAnsi="Verdana"/>
          <w:b/>
          <w:spacing w:val="38"/>
          <w:sz w:val="20"/>
        </w:rPr>
        <w:t> </w:t>
      </w:r>
      <w:r>
        <w:rPr>
          <w:rFonts w:ascii="Verdana" w:hAnsi="Verdana"/>
          <w:b/>
          <w:sz w:val="20"/>
        </w:rPr>
        <w:t>LA</w:t>
      </w:r>
      <w:r>
        <w:rPr>
          <w:rFonts w:ascii="Verdana" w:hAnsi="Verdana"/>
          <w:b/>
          <w:spacing w:val="40"/>
          <w:sz w:val="20"/>
        </w:rPr>
        <w:t> </w:t>
      </w:r>
      <w:r>
        <w:rPr>
          <w:rFonts w:ascii="Verdana" w:hAnsi="Verdana"/>
          <w:b/>
          <w:sz w:val="20"/>
        </w:rPr>
        <w:t>REPÚBLICA</w:t>
      </w:r>
    </w:p>
    <w:p>
      <w:pPr>
        <w:spacing w:before="0"/>
        <w:ind w:left="219" w:right="216" w:firstLine="0"/>
        <w:jc w:val="both"/>
        <w:rPr>
          <w:rFonts w:ascii="Verdana" w:hAnsi="Verdana"/>
          <w:sz w:val="20"/>
        </w:rPr>
      </w:pPr>
      <w:r>
        <w:rPr>
          <w:rFonts w:ascii="Verdana" w:hAnsi="Verdana"/>
          <w:b/>
          <w:sz w:val="20"/>
        </w:rPr>
        <w:t>DOMINICANA</w:t>
      </w:r>
      <w:r>
        <w:rPr>
          <w:rFonts w:ascii="Verdana" w:hAnsi="Verdana"/>
          <w:sz w:val="20"/>
        </w:rPr>
        <w:t>, Banco Interamericano de Desarrollo y Banco Mundial, Agosto de 2009. El PEN reproduce los apartes más importantes del Resumen Ejecutivo, seleccionados con el criterio de resaltar los aspectos que definen las líneas estratégicas de corto y mediano plazo. Este documento se incluye como</w:t>
      </w:r>
      <w:r>
        <w:rPr>
          <w:rFonts w:ascii="Verdana" w:hAnsi="Verdana"/>
          <w:spacing w:val="-5"/>
          <w:sz w:val="20"/>
        </w:rPr>
        <w:t> </w:t>
      </w:r>
      <w:r>
        <w:rPr>
          <w:rFonts w:ascii="Verdana" w:hAnsi="Verdana"/>
          <w:sz w:val="20"/>
        </w:rPr>
        <w:t>anexo.</w:t>
      </w:r>
    </w:p>
    <w:p>
      <w:pPr>
        <w:spacing w:after="0"/>
        <w:jc w:val="both"/>
        <w:rPr>
          <w:rFonts w:ascii="Verdana" w:hAnsi="Verdana"/>
          <w:sz w:val="20"/>
        </w:rPr>
        <w:sectPr>
          <w:pgSz w:w="12240" w:h="15840"/>
          <w:pgMar w:header="718" w:footer="954" w:top="1500" w:bottom="1140" w:left="1220" w:right="1220"/>
        </w:sectPr>
      </w:pPr>
    </w:p>
    <w:p>
      <w:pPr>
        <w:pStyle w:val="BodyText"/>
        <w:spacing w:before="113"/>
        <w:ind w:left="219" w:right="212"/>
        <w:jc w:val="both"/>
      </w:pPr>
      <w:r>
        <w:rPr/>
        <w:t>Desde el 2005, República Dominica ha venido implementando una serie de medidas para enfrentar la crisis del sector. Sin embargo, su nivel de avance en la solución definitiva y la ruptura del círculo vicioso antes mencionado no han sido muy significativos. Si bien el Índice de Recuperación de Efectivo (CRI por sus siglas en inglés) ha subido, indicando una reducción en el nivel de pérdidas y una mejora en la capacidad de generación de caja de parte de las empresas de distribución, el resto de los indicadores fundamentales han seguido deteriorándose: (i) la calidad del servicio, con un 18% de racionamiento de demanda, sigue siendo muy deficiente; (ii) los subsidios y transferencias han seguido generando crecientes despilfarros de recursos; (iii) la eficiencia de las empresas de distribución sigue siendo muy pobre en comparación con otras empresas similares en la región; (iv) la CDEEE ha visto duplicar sus gastos administrativos y sus planillas de empleados, constituyendo una carga cada vez más pesada para el sector eléctrico; y (v) el clima de inversión en el sector eléctrico se ha seguido</w:t>
      </w:r>
      <w:r>
        <w:rPr>
          <w:spacing w:val="-8"/>
        </w:rPr>
        <w:t> </w:t>
      </w:r>
      <w:r>
        <w:rPr/>
        <w:t>deteriorando.</w:t>
      </w:r>
    </w:p>
    <w:p>
      <w:pPr>
        <w:pStyle w:val="BodyText"/>
        <w:spacing w:before="3"/>
        <w:rPr>
          <w:sz w:val="25"/>
        </w:rPr>
      </w:pPr>
    </w:p>
    <w:p>
      <w:pPr>
        <w:pStyle w:val="BodyText"/>
        <w:ind w:left="220" w:right="215"/>
        <w:jc w:val="both"/>
      </w:pPr>
      <w:r>
        <w:rPr/>
        <w:t>El Plan de Acción propone adoptar medidas correctivas en diversos aspectos fundamentales del sector eléctrico, algunas de corto plazo o inmediatas, otras de mediano plazo y que tienen que seguir a las primeras. Los aspectos centrales de esta propuesta se pueden resumir en siete áreas fundamentales de acción:</w:t>
      </w:r>
    </w:p>
    <w:p>
      <w:pPr>
        <w:pStyle w:val="BodyText"/>
        <w:spacing w:before="11"/>
        <w:rPr>
          <w:sz w:val="22"/>
        </w:rPr>
      </w:pPr>
    </w:p>
    <w:p>
      <w:pPr>
        <w:pStyle w:val="ListParagraph"/>
        <w:numPr>
          <w:ilvl w:val="0"/>
          <w:numId w:val="19"/>
        </w:numPr>
        <w:tabs>
          <w:tab w:pos="487" w:val="left" w:leader="none"/>
        </w:tabs>
        <w:spacing w:line="240" w:lineRule="auto" w:before="1" w:after="0"/>
        <w:ind w:left="486" w:right="0" w:hanging="267"/>
        <w:jc w:val="left"/>
        <w:rPr>
          <w:sz w:val="23"/>
        </w:rPr>
      </w:pPr>
      <w:r>
        <w:rPr>
          <w:sz w:val="23"/>
        </w:rPr>
        <w:t>Tarifas</w:t>
      </w:r>
    </w:p>
    <w:p>
      <w:pPr>
        <w:pStyle w:val="ListParagraph"/>
        <w:numPr>
          <w:ilvl w:val="0"/>
          <w:numId w:val="19"/>
        </w:numPr>
        <w:tabs>
          <w:tab w:pos="487" w:val="left" w:leader="none"/>
        </w:tabs>
        <w:spacing w:line="240" w:lineRule="auto" w:before="0" w:after="0"/>
        <w:ind w:left="486" w:right="0" w:hanging="267"/>
        <w:jc w:val="left"/>
        <w:rPr>
          <w:sz w:val="23"/>
        </w:rPr>
      </w:pPr>
      <w:r>
        <w:rPr>
          <w:sz w:val="23"/>
        </w:rPr>
        <w:t>Subsidios</w:t>
      </w:r>
    </w:p>
    <w:p>
      <w:pPr>
        <w:pStyle w:val="ListParagraph"/>
        <w:numPr>
          <w:ilvl w:val="0"/>
          <w:numId w:val="19"/>
        </w:numPr>
        <w:tabs>
          <w:tab w:pos="487" w:val="left" w:leader="none"/>
        </w:tabs>
        <w:spacing w:line="277" w:lineRule="exact" w:before="1" w:after="0"/>
        <w:ind w:left="486" w:right="0" w:hanging="267"/>
        <w:jc w:val="left"/>
        <w:rPr>
          <w:sz w:val="23"/>
        </w:rPr>
      </w:pPr>
      <w:r>
        <w:rPr>
          <w:sz w:val="23"/>
        </w:rPr>
        <w:t>Pérdidas</w:t>
      </w:r>
    </w:p>
    <w:p>
      <w:pPr>
        <w:pStyle w:val="ListParagraph"/>
        <w:numPr>
          <w:ilvl w:val="0"/>
          <w:numId w:val="19"/>
        </w:numPr>
        <w:tabs>
          <w:tab w:pos="487" w:val="left" w:leader="none"/>
        </w:tabs>
        <w:spacing w:line="277" w:lineRule="exact" w:before="0" w:after="0"/>
        <w:ind w:left="486" w:right="0" w:hanging="267"/>
        <w:jc w:val="left"/>
        <w:rPr>
          <w:sz w:val="23"/>
        </w:rPr>
      </w:pPr>
      <w:r>
        <w:rPr>
          <w:sz w:val="23"/>
        </w:rPr>
        <w:t>Gestión</w:t>
      </w:r>
    </w:p>
    <w:p>
      <w:pPr>
        <w:pStyle w:val="ListParagraph"/>
        <w:numPr>
          <w:ilvl w:val="0"/>
          <w:numId w:val="19"/>
        </w:numPr>
        <w:tabs>
          <w:tab w:pos="487" w:val="left" w:leader="none"/>
        </w:tabs>
        <w:spacing w:line="240" w:lineRule="auto" w:before="1" w:after="0"/>
        <w:ind w:left="486" w:right="0" w:hanging="267"/>
        <w:jc w:val="left"/>
        <w:rPr>
          <w:sz w:val="23"/>
        </w:rPr>
      </w:pPr>
      <w:r>
        <w:rPr>
          <w:sz w:val="23"/>
        </w:rPr>
        <w:t>Fideicomiso</w:t>
      </w:r>
    </w:p>
    <w:p>
      <w:pPr>
        <w:pStyle w:val="ListParagraph"/>
        <w:numPr>
          <w:ilvl w:val="0"/>
          <w:numId w:val="19"/>
        </w:numPr>
        <w:tabs>
          <w:tab w:pos="487" w:val="left" w:leader="none"/>
        </w:tabs>
        <w:spacing w:line="277" w:lineRule="exact" w:before="1" w:after="0"/>
        <w:ind w:left="486" w:right="0" w:hanging="267"/>
        <w:jc w:val="left"/>
        <w:rPr>
          <w:sz w:val="23"/>
        </w:rPr>
      </w:pPr>
      <w:r>
        <w:rPr>
          <w:sz w:val="23"/>
        </w:rPr>
        <w:t>Institucionalidad</w:t>
      </w:r>
    </w:p>
    <w:p>
      <w:pPr>
        <w:pStyle w:val="ListParagraph"/>
        <w:numPr>
          <w:ilvl w:val="0"/>
          <w:numId w:val="19"/>
        </w:numPr>
        <w:tabs>
          <w:tab w:pos="487" w:val="left" w:leader="none"/>
        </w:tabs>
        <w:spacing w:line="277" w:lineRule="exact" w:before="0" w:after="0"/>
        <w:ind w:left="486" w:right="0" w:hanging="267"/>
        <w:jc w:val="left"/>
        <w:rPr>
          <w:sz w:val="23"/>
        </w:rPr>
      </w:pPr>
      <w:r>
        <w:rPr>
          <w:sz w:val="23"/>
        </w:rPr>
        <w:t>Inversiones</w:t>
      </w:r>
    </w:p>
    <w:p>
      <w:pPr>
        <w:pStyle w:val="BodyText"/>
        <w:spacing w:before="1"/>
      </w:pPr>
    </w:p>
    <w:p>
      <w:pPr>
        <w:pStyle w:val="BodyText"/>
        <w:ind w:left="220" w:right="216"/>
        <w:jc w:val="both"/>
      </w:pPr>
      <w:r>
        <w:rPr/>
        <w:t>En este sentido, el presente Plan de Acción constituye una aproximación completa a la problemática del sector eléctrico dominicano que debe implementarse integralmente.</w:t>
      </w:r>
    </w:p>
    <w:p>
      <w:pPr>
        <w:pStyle w:val="BodyText"/>
        <w:spacing w:before="6"/>
        <w:rPr>
          <w:sz w:val="25"/>
        </w:rPr>
      </w:pPr>
    </w:p>
    <w:p>
      <w:pPr>
        <w:pStyle w:val="Heading3"/>
        <w:spacing w:before="1"/>
        <w:ind w:left="1300"/>
        <w:rPr>
          <w:i/>
        </w:rPr>
      </w:pPr>
      <w:bookmarkStart w:name="_TOC_250074" w:id="25"/>
      <w:bookmarkEnd w:id="25"/>
      <w:r>
        <w:rPr>
          <w:i/>
          <w:w w:val="110"/>
        </w:rPr>
        <w:t>Tarifas</w:t>
      </w:r>
    </w:p>
    <w:p>
      <w:pPr>
        <w:pStyle w:val="BodyText"/>
        <w:spacing w:before="1"/>
        <w:rPr>
          <w:rFonts w:ascii="Times New Roman"/>
          <w:b/>
          <w:i/>
          <w:sz w:val="24"/>
        </w:rPr>
      </w:pPr>
    </w:p>
    <w:p>
      <w:pPr>
        <w:pStyle w:val="BodyText"/>
        <w:ind w:left="220" w:right="214"/>
        <w:jc w:val="both"/>
      </w:pPr>
      <w:r>
        <w:rPr/>
        <w:t>En el corto plazo de un año resulta imprescindible tomar cuatro acciones en el tema de tarifas: (i) realizar un ajuste tarifario para acercar el nivel tarifario medio a los costos actuales de prestación del servicio; (ii) simplificar la estructura tarifaria reduciendo de 9 bloques tarifarios a no más de 3; (iii) reducir el umbral de consumo para el subsidio tarifario de 700 kWh a un máximo de 300 kWh de manera que todo consumo mensual por encima de los 300 kWh pague la tarifa indexada correspondiente a su bloque y (iv) regresar a un sistema de flexibilidad tarifaria que refleje cambios en los costos de provisión del servicio.</w:t>
      </w:r>
      <w:r>
        <w:rPr>
          <w:vertAlign w:val="superscript"/>
        </w:rPr>
        <w:t>16</w:t>
      </w:r>
    </w:p>
    <w:p>
      <w:pPr>
        <w:pStyle w:val="BodyText"/>
        <w:rPr>
          <w:sz w:val="15"/>
        </w:rPr>
      </w:pPr>
      <w:r>
        <w:rPr/>
        <w:pict>
          <v:rect style="position:absolute;margin-left:72pt;margin-top:11.010984pt;width:143.999997pt;height:.72pt;mso-position-horizontal-relative:page;mso-position-vertical-relative:paragraph;z-index:-15678464;mso-wrap-distance-left:0;mso-wrap-distance-right:0" filled="true" fillcolor="#000000" stroked="false">
            <v:fill type="solid"/>
            <w10:wrap type="topAndBottom"/>
          </v:rect>
        </w:pict>
      </w:r>
    </w:p>
    <w:p>
      <w:pPr>
        <w:spacing w:before="89"/>
        <w:ind w:left="219" w:right="215" w:firstLine="0"/>
        <w:jc w:val="both"/>
        <w:rPr>
          <w:rFonts w:ascii="Verdana" w:hAnsi="Verdana"/>
          <w:sz w:val="20"/>
        </w:rPr>
      </w:pPr>
      <w:r>
        <w:rPr>
          <w:rFonts w:ascii="Verdana" w:hAnsi="Verdana"/>
          <w:sz w:val="20"/>
          <w:vertAlign w:val="superscript"/>
        </w:rPr>
        <w:t>16</w:t>
      </w:r>
      <w:r>
        <w:rPr>
          <w:rFonts w:ascii="Verdana" w:hAnsi="Verdana"/>
          <w:sz w:val="20"/>
          <w:vertAlign w:val="baseline"/>
        </w:rPr>
        <w:t> Durante el periodo de preparación del documento citado, las autoridades dominicanas procedieron a poner fin al congelamiento tarifario a través de dos aumentos sucesivos de tarifas (en los meses de Junio y Julio de 2008) del orden de 12.25% en términos acumulativos. Igualmente, se avanzó en la simplificación de la estructura tarifaria y la racionalización de los subsidios, tanto los de índole tarifario como en los relativos al PRA que</w:t>
      </w:r>
    </w:p>
    <w:p>
      <w:pPr>
        <w:spacing w:after="0"/>
        <w:jc w:val="both"/>
        <w:rPr>
          <w:rFonts w:ascii="Verdana" w:hAnsi="Verdana"/>
          <w:sz w:val="20"/>
        </w:rPr>
        <w:sectPr>
          <w:pgSz w:w="12240" w:h="15840"/>
          <w:pgMar w:header="718" w:footer="954" w:top="1500" w:bottom="1140" w:left="1220" w:right="1220"/>
        </w:sectPr>
      </w:pPr>
    </w:p>
    <w:p>
      <w:pPr>
        <w:pStyle w:val="BodyText"/>
        <w:spacing w:before="11"/>
        <w:rPr>
          <w:rFonts w:ascii="Verdana"/>
        </w:rPr>
      </w:pPr>
    </w:p>
    <w:p>
      <w:pPr>
        <w:pStyle w:val="BodyText"/>
        <w:spacing w:before="101"/>
        <w:ind w:left="219" w:right="214"/>
        <w:jc w:val="both"/>
      </w:pPr>
      <w:r>
        <w:rPr/>
        <w:t>En el mediano plazo, se requiere un sistema tarifario eficiente que permita el desarrollo sostenible del sector eléctrico, caracterizado por: (i) ingresos anuales autorizados (IAA) de cada empresa distribuidora determinados de forma que permita prestar los servicios de distribución y comercialización de energía eléctrica en forma eficiente, cumpliendo las metas de calidad de servicio establecidas en la normativa vigente, así como obtener una rentabilidad razonable sobre el capital invertido, acorde con el riesgo del negocio; (ii) un mecanismo para trasladar los precios pagados por las distribuidoras por la compra de energía y servicios de trasmisión asociados a las tarifas pagadas por los consumidores finales (“pass-through” de precios de generación y trasmisión); (iii) un valor regulatorio de pérdidas totales por el servicio de distribución y comercialización que la EDE está autorizada a trasladar a las tarifas pagadas por sus clientes como compra adicional de energía, calculado considerando una gestión eficiente; (iv) una estructura tarifaria que permita asignar los ingresos totales (nivel tarifario medio) entre las diferentes categorías de usuarios.</w:t>
      </w:r>
    </w:p>
    <w:p>
      <w:pPr>
        <w:pStyle w:val="BodyText"/>
        <w:spacing w:before="11"/>
        <w:rPr>
          <w:sz w:val="22"/>
        </w:rPr>
      </w:pPr>
    </w:p>
    <w:p>
      <w:pPr>
        <w:pStyle w:val="BodyText"/>
        <w:ind w:left="219" w:right="214"/>
        <w:jc w:val="both"/>
      </w:pPr>
      <w:r>
        <w:rPr/>
        <w:t>Las categorías de la estructura y los cargos dentro de cada una deben ser establecidos de modo que reflejen los costos reales de prestación eficiente del servicio causados por cada tipo de usuario y, al mismo tiempo, aseguren que la estructura tarifaria resulte lo más simple y transparente posible. Es urgente determinar con la mayor celeridad posible este “punto de llegada” (sistema tarifario eficiente) e implementar una trayectoria o período de transición que permita evolucionar desde la situación actual hacia el punto de llegada en un plazo política y socialmente viable.</w:t>
      </w:r>
    </w:p>
    <w:p>
      <w:pPr>
        <w:pStyle w:val="BodyText"/>
        <w:spacing w:before="2"/>
      </w:pPr>
    </w:p>
    <w:p>
      <w:pPr>
        <w:pStyle w:val="BodyText"/>
        <w:ind w:left="219" w:right="214"/>
        <w:jc w:val="both"/>
      </w:pPr>
      <w:r>
        <w:rPr/>
        <w:t>Finalmente, se deben adoptar medidas para mitigar el riesgo a la alta volatilidad de los precios de los combustibles haciendo uso de instrumentos de cobertura contra el riesgo de precios de los combustibles, lo cual no sólo va a ayudar al Gobierno a cumplir sus objetivos fiscales con mayor certidumbre, debido a una más previsible planificación de los montos de las transferencias al sector eléctrico, sino que también permitirá reducir las tensiones que permanentemente existen sobre los costos de generación, las cláusulas de indexación de los contratos y las presiones sobre</w:t>
      </w:r>
      <w:r>
        <w:rPr>
          <w:spacing w:val="-2"/>
        </w:rPr>
        <w:t> </w:t>
      </w:r>
      <w:r>
        <w:rPr/>
        <w:t>tarifas.</w:t>
      </w:r>
    </w:p>
    <w:p>
      <w:pPr>
        <w:pStyle w:val="BodyText"/>
        <w:spacing w:before="5"/>
      </w:pPr>
    </w:p>
    <w:p>
      <w:pPr>
        <w:pStyle w:val="Heading3"/>
        <w:spacing w:before="1"/>
        <w:ind w:left="1299"/>
        <w:rPr>
          <w:i/>
        </w:rPr>
      </w:pPr>
      <w:bookmarkStart w:name="_TOC_250073" w:id="26"/>
      <w:bookmarkEnd w:id="26"/>
      <w:r>
        <w:rPr>
          <w:i/>
          <w:w w:val="110"/>
        </w:rPr>
        <w:t>Subsidios</w:t>
      </w:r>
    </w:p>
    <w:p>
      <w:pPr>
        <w:pStyle w:val="BodyText"/>
        <w:spacing w:before="1"/>
        <w:rPr>
          <w:rFonts w:ascii="Times New Roman"/>
          <w:b/>
          <w:i/>
          <w:sz w:val="24"/>
        </w:rPr>
      </w:pPr>
    </w:p>
    <w:p>
      <w:pPr>
        <w:pStyle w:val="BodyText"/>
        <w:ind w:left="219" w:right="213"/>
        <w:jc w:val="both"/>
      </w:pPr>
      <w:r>
        <w:rPr/>
        <w:t>La permanencia - extendida en el tiempo - del Programa de Reducción de Apagones (PRA) no sólo ha generado importantes distorsiones desde el punto de vista del uso racional de la energía, sino también desde el punto de vista de la equidad del subsidio y del desincentivo a que las empresas distribuidoras gestionen eficientemente su negocio. Dadas las ineficiencias del esquema PRA, se propone un nuevo esquema de entrega del subsidio eléctrico (Programa BonoLuz), con el objetivo de focalizar el subsidio dirigiéndolo específicamente a la población de más bajos recursos y como una vía para inducir eficiencia en</w:t>
      </w:r>
      <w:r>
        <w:rPr>
          <w:spacing w:val="15"/>
        </w:rPr>
        <w:t> </w:t>
      </w:r>
      <w:r>
        <w:rPr/>
        <w:t>el</w:t>
      </w:r>
      <w:r>
        <w:rPr>
          <w:spacing w:val="17"/>
        </w:rPr>
        <w:t> </w:t>
      </w:r>
      <w:r>
        <w:rPr/>
        <w:t>consumo</w:t>
      </w:r>
      <w:r>
        <w:rPr>
          <w:spacing w:val="17"/>
        </w:rPr>
        <w:t> </w:t>
      </w:r>
      <w:r>
        <w:rPr/>
        <w:t>de</w:t>
      </w:r>
      <w:r>
        <w:rPr>
          <w:spacing w:val="16"/>
        </w:rPr>
        <w:t> </w:t>
      </w:r>
      <w:r>
        <w:rPr/>
        <w:t>energía</w:t>
      </w:r>
      <w:r>
        <w:rPr>
          <w:spacing w:val="15"/>
        </w:rPr>
        <w:t> </w:t>
      </w:r>
      <w:r>
        <w:rPr/>
        <w:t>y</w:t>
      </w:r>
      <w:r>
        <w:rPr>
          <w:spacing w:val="18"/>
        </w:rPr>
        <w:t> </w:t>
      </w:r>
      <w:r>
        <w:rPr/>
        <w:t>en</w:t>
      </w:r>
      <w:r>
        <w:rPr>
          <w:spacing w:val="19"/>
        </w:rPr>
        <w:t> </w:t>
      </w:r>
      <w:r>
        <w:rPr/>
        <w:t>la</w:t>
      </w:r>
      <w:r>
        <w:rPr>
          <w:spacing w:val="16"/>
        </w:rPr>
        <w:t> </w:t>
      </w:r>
      <w:r>
        <w:rPr/>
        <w:t>gestión</w:t>
      </w:r>
      <w:r>
        <w:rPr>
          <w:spacing w:val="18"/>
        </w:rPr>
        <w:t> </w:t>
      </w:r>
      <w:r>
        <w:rPr/>
        <w:t>de</w:t>
      </w:r>
      <w:r>
        <w:rPr>
          <w:spacing w:val="18"/>
        </w:rPr>
        <w:t> </w:t>
      </w:r>
      <w:r>
        <w:rPr/>
        <w:t>las</w:t>
      </w:r>
      <w:r>
        <w:rPr>
          <w:spacing w:val="18"/>
        </w:rPr>
        <w:t> </w:t>
      </w:r>
      <w:r>
        <w:rPr/>
        <w:t>empresas</w:t>
      </w:r>
      <w:r>
        <w:rPr>
          <w:spacing w:val="18"/>
        </w:rPr>
        <w:t> </w:t>
      </w:r>
      <w:r>
        <w:rPr/>
        <w:t>distribuidoras.</w:t>
      </w:r>
      <w:r>
        <w:rPr>
          <w:spacing w:val="17"/>
        </w:rPr>
        <w:t> </w:t>
      </w:r>
      <w:r>
        <w:rPr/>
        <w:t>Se</w:t>
      </w:r>
      <w:r>
        <w:rPr>
          <w:spacing w:val="17"/>
        </w:rPr>
        <w:t> </w:t>
      </w:r>
      <w:r>
        <w:rPr/>
        <w:t>busca</w:t>
      </w:r>
      <w:r>
        <w:rPr>
          <w:spacing w:val="16"/>
        </w:rPr>
        <w:t> </w:t>
      </w:r>
      <w:r>
        <w:rPr/>
        <w:t>que</w:t>
      </w:r>
      <w:r>
        <w:rPr>
          <w:spacing w:val="16"/>
        </w:rPr>
        <w:t> </w:t>
      </w:r>
      <w:r>
        <w:rPr/>
        <w:t>el</w:t>
      </w:r>
    </w:p>
    <w:p>
      <w:pPr>
        <w:pStyle w:val="BodyText"/>
        <w:spacing w:before="5"/>
        <w:rPr>
          <w:sz w:val="13"/>
        </w:rPr>
      </w:pPr>
      <w:r>
        <w:rPr/>
        <w:pict>
          <v:rect style="position:absolute;margin-left:72pt;margin-top:10.046125pt;width:467.99999pt;height:.72pt;mso-position-horizontal-relative:page;mso-position-vertical-relative:paragraph;z-index:-15677952;mso-wrap-distance-left:0;mso-wrap-distance-right:0" filled="true" fillcolor="#000000" stroked="false">
            <v:fill type="solid"/>
            <w10:wrap type="topAndBottom"/>
          </v:rect>
        </w:pict>
      </w:r>
    </w:p>
    <w:p>
      <w:pPr>
        <w:spacing w:before="91"/>
        <w:ind w:left="219" w:right="218" w:firstLine="0"/>
        <w:jc w:val="both"/>
        <w:rPr>
          <w:rFonts w:ascii="Verdana" w:hAnsi="Verdana"/>
          <w:sz w:val="20"/>
        </w:rPr>
      </w:pPr>
      <w:r>
        <w:rPr>
          <w:rFonts w:ascii="Verdana" w:hAnsi="Verdana"/>
          <w:sz w:val="20"/>
        </w:rPr>
        <w:t>fue declarado en desmantelamiento mediante Decreto publicado en junio del 2009. De manera que algunas de las recomendaciones aquí establecidas ya empezaron a ser adoptadas en la República Dominicana.</w:t>
      </w:r>
    </w:p>
    <w:p>
      <w:pPr>
        <w:spacing w:after="0"/>
        <w:jc w:val="both"/>
        <w:rPr>
          <w:rFonts w:ascii="Verdana" w:hAnsi="Verdana"/>
          <w:sz w:val="20"/>
        </w:rPr>
        <w:sectPr>
          <w:pgSz w:w="12240" w:h="15840"/>
          <w:pgMar w:header="718" w:footer="954" w:top="1500" w:bottom="1140" w:left="1220" w:right="1220"/>
        </w:sectPr>
      </w:pPr>
    </w:p>
    <w:p>
      <w:pPr>
        <w:pStyle w:val="BodyText"/>
        <w:spacing w:before="113"/>
        <w:ind w:left="219" w:right="214"/>
        <w:jc w:val="both"/>
      </w:pPr>
      <w:r>
        <w:rPr/>
        <w:t>nuevo esquema genere los incentivos correctos para que los hogares consuman la energía racionalmente, las empresas distribuidoras cumplan su función como gestores comerciales del sistema, y los “usuarios” del sistema regularicen su situación contractual con las empresas distribuidoras.</w:t>
      </w:r>
    </w:p>
    <w:p>
      <w:pPr>
        <w:pStyle w:val="BodyText"/>
        <w:spacing w:before="1"/>
      </w:pPr>
    </w:p>
    <w:p>
      <w:pPr>
        <w:pStyle w:val="BodyText"/>
        <w:ind w:left="219"/>
        <w:jc w:val="both"/>
      </w:pPr>
      <w:r>
        <w:rPr/>
        <w:t>Las principales características del BonoLuz son:</w:t>
      </w:r>
    </w:p>
    <w:p>
      <w:pPr>
        <w:pStyle w:val="BodyText"/>
        <w:spacing w:before="11"/>
        <w:rPr>
          <w:sz w:val="22"/>
        </w:rPr>
      </w:pPr>
    </w:p>
    <w:p>
      <w:pPr>
        <w:pStyle w:val="ListParagraph"/>
        <w:numPr>
          <w:ilvl w:val="0"/>
          <w:numId w:val="20"/>
        </w:numPr>
        <w:tabs>
          <w:tab w:pos="377" w:val="left" w:leader="none"/>
        </w:tabs>
        <w:spacing w:line="240" w:lineRule="auto" w:before="1" w:after="0"/>
        <w:ind w:left="219" w:right="214" w:firstLine="0"/>
        <w:jc w:val="both"/>
        <w:rPr>
          <w:sz w:val="23"/>
        </w:rPr>
      </w:pPr>
      <w:r>
        <w:rPr>
          <w:sz w:val="23"/>
        </w:rPr>
        <w:t>Ente de adscripción: El Gabinete de Coordinación de Política Social (GCPS). De esta forma, el tema del subsidio a la electricidad ya no será un tema manejado a nivel del ente sectorial eléctrico (CDEEE), sino que será un tema de política social manejado por la institución correspondiente (GCPS), quien tiene la capacidad, el mandato y la información necesaria para focalizar el subsidio de forma que beneficie a los más</w:t>
      </w:r>
      <w:r>
        <w:rPr>
          <w:spacing w:val="-6"/>
          <w:sz w:val="23"/>
        </w:rPr>
        <w:t> </w:t>
      </w:r>
      <w:r>
        <w:rPr>
          <w:sz w:val="23"/>
        </w:rPr>
        <w:t>pobres.</w:t>
      </w:r>
    </w:p>
    <w:p>
      <w:pPr>
        <w:pStyle w:val="BodyText"/>
        <w:spacing w:before="11"/>
        <w:rPr>
          <w:sz w:val="22"/>
        </w:rPr>
      </w:pPr>
    </w:p>
    <w:p>
      <w:pPr>
        <w:pStyle w:val="ListParagraph"/>
        <w:numPr>
          <w:ilvl w:val="0"/>
          <w:numId w:val="20"/>
        </w:numPr>
        <w:tabs>
          <w:tab w:pos="427" w:val="left" w:leader="none"/>
        </w:tabs>
        <w:spacing w:line="240" w:lineRule="auto" w:before="1" w:after="0"/>
        <w:ind w:left="219" w:right="214" w:firstLine="0"/>
        <w:jc w:val="both"/>
        <w:rPr>
          <w:sz w:val="23"/>
        </w:rPr>
      </w:pPr>
      <w:r>
        <w:rPr>
          <w:sz w:val="23"/>
        </w:rPr>
        <w:t>Beneficiarios: El BonoLuz estará dirigido a los hogares más pobres del país (aquellos catalogados por el SIUBEN como indigentes, pobres y de clase media baja), que son los grupos socioeconómicos objetivo de las políticas sociales en el país. Para que los “usuarios” puedan transformarse en beneficiarios efectivos del programa deberán formalizar su situación, a través de la obtención de un contrato de servicio con alguna de las empresas distribuidoras, inicialmente a través de contratos especiales o transitorios a renta fija y, posteriormente, éstas deberán regularizar totalmente al cliente, instalando equipos de conexión y medición</w:t>
      </w:r>
      <w:r>
        <w:rPr>
          <w:spacing w:val="-1"/>
          <w:sz w:val="23"/>
        </w:rPr>
        <w:t> </w:t>
      </w:r>
      <w:r>
        <w:rPr>
          <w:sz w:val="23"/>
        </w:rPr>
        <w:t>adecuados.</w:t>
      </w:r>
    </w:p>
    <w:p>
      <w:pPr>
        <w:pStyle w:val="BodyText"/>
        <w:spacing w:before="11"/>
        <w:rPr>
          <w:sz w:val="22"/>
        </w:rPr>
      </w:pPr>
    </w:p>
    <w:p>
      <w:pPr>
        <w:pStyle w:val="ListParagraph"/>
        <w:numPr>
          <w:ilvl w:val="0"/>
          <w:numId w:val="20"/>
        </w:numPr>
        <w:tabs>
          <w:tab w:pos="446" w:val="left" w:leader="none"/>
        </w:tabs>
        <w:spacing w:line="240" w:lineRule="auto" w:before="0" w:after="0"/>
        <w:ind w:left="219" w:right="215" w:firstLine="0"/>
        <w:jc w:val="both"/>
        <w:rPr>
          <w:sz w:val="23"/>
        </w:rPr>
      </w:pPr>
      <w:r>
        <w:rPr>
          <w:sz w:val="23"/>
        </w:rPr>
        <w:t>Monto del subsidio: El BonoLuz entregará una transferencia que financiará (total o parcialmente) el consumo estimado de los hogares calificados como beneficiarios a precios de mercado. El consumo base a subsidiar sería de hasta 100 KWh mensuales y deberán pagar por sus propios medios por el consumo por encima de ese</w:t>
      </w:r>
      <w:r>
        <w:rPr>
          <w:spacing w:val="-9"/>
          <w:sz w:val="23"/>
        </w:rPr>
        <w:t> </w:t>
      </w:r>
      <w:r>
        <w:rPr>
          <w:sz w:val="23"/>
        </w:rPr>
        <w:t>umbral.</w:t>
      </w:r>
    </w:p>
    <w:p>
      <w:pPr>
        <w:pStyle w:val="BodyText"/>
        <w:spacing w:before="2"/>
      </w:pPr>
    </w:p>
    <w:p>
      <w:pPr>
        <w:pStyle w:val="ListParagraph"/>
        <w:numPr>
          <w:ilvl w:val="0"/>
          <w:numId w:val="20"/>
        </w:numPr>
        <w:tabs>
          <w:tab w:pos="398" w:val="left" w:leader="none"/>
        </w:tabs>
        <w:spacing w:line="240" w:lineRule="auto" w:before="0" w:after="0"/>
        <w:ind w:left="219" w:right="214" w:firstLine="0"/>
        <w:jc w:val="both"/>
        <w:rPr>
          <w:sz w:val="23"/>
        </w:rPr>
      </w:pPr>
      <w:r>
        <w:rPr>
          <w:sz w:val="23"/>
        </w:rPr>
        <w:t>Desmontaje progresivo del PRA y expansión del BonoLuz: El proceso de desmontaje del PRA y de expansión del BonoLuz deberá pasar por un período de transición que no debería durar más de seis meses, en el cual se deberán definir los esquemas y establecer los cronogramas específicos para: (i) iniciar una campaña masiva para convertir a los “usuarios” en clientes de las empresas distribuidoras, tanto de zonas PRA como de otras zonas no PRA; (ii) establecer metas específicas y fases claramente establecidas para el desmontaje de los barrios PRA y su traslado al BonoLuz, con un cronograma acordado y manejado desde el GCPS y coordinado con el Ministerio de Hacienda, por el cual el subsidio entregado a las empresas distribuidoras deberá cesar una vez que el barrio respectivo sea desincorporado del PRA; (iii) expansión del BonoLuz para cubrir a los hogares pobres residenciados en zonas no PRA identificados por el SIUBEN; (iv) adecuación de los sistemas de gestión comercial de las empresas distribuidoras; (v) adecuación de los planes de monitoreo y supervisión de redes de las empresas distribuidoras (tanto en zonas PRA como en zonas no PRA); (vi) revisión del status del personal del PRA y de los contratos de las empresas</w:t>
      </w:r>
      <w:r>
        <w:rPr>
          <w:spacing w:val="-1"/>
          <w:sz w:val="23"/>
        </w:rPr>
        <w:t> </w:t>
      </w:r>
      <w:r>
        <w:rPr>
          <w:sz w:val="23"/>
        </w:rPr>
        <w:t>gestoras.</w:t>
      </w:r>
    </w:p>
    <w:p>
      <w:pPr>
        <w:spacing w:after="0" w:line="240" w:lineRule="auto"/>
        <w:jc w:val="both"/>
        <w:rPr>
          <w:sz w:val="23"/>
        </w:rPr>
        <w:sectPr>
          <w:pgSz w:w="12240" w:h="15840"/>
          <w:pgMar w:header="718" w:footer="954" w:top="1500" w:bottom="1140" w:left="1220" w:right="1220"/>
        </w:sectPr>
      </w:pPr>
    </w:p>
    <w:p>
      <w:pPr>
        <w:pStyle w:val="Heading3"/>
        <w:spacing w:before="119"/>
        <w:ind w:left="1299"/>
        <w:rPr>
          <w:i/>
        </w:rPr>
      </w:pPr>
      <w:bookmarkStart w:name="_TOC_250072" w:id="27"/>
      <w:bookmarkEnd w:id="27"/>
      <w:r>
        <w:rPr>
          <w:i/>
          <w:w w:val="110"/>
        </w:rPr>
        <w:t>Pérdidas</w:t>
      </w:r>
    </w:p>
    <w:p>
      <w:pPr>
        <w:pStyle w:val="BodyText"/>
        <w:spacing w:before="2"/>
        <w:rPr>
          <w:rFonts w:ascii="Times New Roman"/>
          <w:b/>
          <w:i/>
          <w:sz w:val="24"/>
        </w:rPr>
      </w:pPr>
    </w:p>
    <w:p>
      <w:pPr>
        <w:pStyle w:val="BodyText"/>
        <w:ind w:left="219" w:right="214"/>
        <w:jc w:val="both"/>
      </w:pPr>
      <w:r>
        <w:rPr/>
        <w:t>La reducción de pérdidas técnicas y no técnicas exige inversiones en las redes, que incluya elementos especialmente diseñados para el control del fraude, además del rediseño y rehabilitación de las redes.</w:t>
      </w:r>
    </w:p>
    <w:p>
      <w:pPr>
        <w:pStyle w:val="BodyText"/>
        <w:spacing w:before="1"/>
      </w:pPr>
    </w:p>
    <w:p>
      <w:pPr>
        <w:pStyle w:val="BodyText"/>
        <w:ind w:left="219" w:right="213"/>
        <w:jc w:val="both"/>
      </w:pPr>
      <w:r>
        <w:rPr/>
        <w:t>Se considera necesario complementar la implementación inmediata de esos proyectos con medidas que apunten a lograr una rápida recuperación del índice global de cobranzas. Para lograr una mejora significativa en el “índice de cobranza” se requiere: (i) actualización de las bases de datos de clientes, e identificación y asociación por circuito, para permitir un mejor monitoreo de fallas, pérdidas técnicas, fraude y cobranza; (ii) establecimiento de un plan de corte a los grandes consumidores morosos, debidamente publicitado. Asimismo, debe publicitarse la morosidad de los clientes declarados “no cortables”; (iii) diseño de una campaña de comunicación y concienciación, que permita promocionar en un lenguaje simple los objetivos estratégicos del Gobierno al implementar el Plan de</w:t>
      </w:r>
      <w:r>
        <w:rPr>
          <w:spacing w:val="-14"/>
        </w:rPr>
        <w:t> </w:t>
      </w:r>
      <w:r>
        <w:rPr/>
        <w:t>Acción.</w:t>
      </w:r>
    </w:p>
    <w:p>
      <w:pPr>
        <w:pStyle w:val="BodyText"/>
      </w:pPr>
    </w:p>
    <w:p>
      <w:pPr>
        <w:pStyle w:val="BodyText"/>
        <w:ind w:left="219" w:right="214" w:hanging="1"/>
        <w:jc w:val="both"/>
      </w:pPr>
      <w:r>
        <w:rPr/>
        <w:t>Asimismo, es necesario impulsar el cambio de largo plazo en el comportamiento de los consumidores hacia la energía eléctrica y las empresas, en particular a través de la promoción de una conciencia del uso eficiente y seguro de energía y de pago por el servicio prestado para su implementación a partir del 2010. Finalmente, se propone el reforzamiento de la capacidad de gestión de las empresas, a través de un programa de rehabilitación de la gestión.</w:t>
      </w:r>
    </w:p>
    <w:p>
      <w:pPr>
        <w:pStyle w:val="BodyText"/>
        <w:spacing w:before="5"/>
      </w:pPr>
    </w:p>
    <w:p>
      <w:pPr>
        <w:pStyle w:val="Heading3"/>
        <w:ind w:left="1357"/>
        <w:rPr>
          <w:i/>
        </w:rPr>
      </w:pPr>
      <w:bookmarkStart w:name="_TOC_250071" w:id="28"/>
      <w:bookmarkEnd w:id="28"/>
      <w:r>
        <w:rPr>
          <w:i/>
          <w:w w:val="110"/>
        </w:rPr>
        <w:t>Gestión</w:t>
      </w:r>
    </w:p>
    <w:p>
      <w:pPr>
        <w:pStyle w:val="BodyText"/>
        <w:spacing w:before="2"/>
        <w:rPr>
          <w:rFonts w:ascii="Times New Roman"/>
          <w:b/>
          <w:i/>
          <w:sz w:val="24"/>
        </w:rPr>
      </w:pPr>
    </w:p>
    <w:p>
      <w:pPr>
        <w:pStyle w:val="BodyText"/>
        <w:ind w:left="219" w:right="214"/>
        <w:jc w:val="both"/>
      </w:pPr>
      <w:r>
        <w:rPr/>
        <w:t>Las empresas del sector eléctrico presentan indicadores de gestión muy por debajo de los estándares para empresas similares en la región de Latino América y el Caribe, y lo más grave aún, es que su tendencia es a empeorar como resultado de la falta de planeación dentro del sector y una gestión regulatoria deficiente. Las altas pérdidas y baja cobranza de las EDES son sintomáticas de una baja capacidad de gestión técnica, comercial y financiera.</w:t>
      </w:r>
    </w:p>
    <w:p>
      <w:pPr>
        <w:pStyle w:val="BodyText"/>
      </w:pPr>
    </w:p>
    <w:p>
      <w:pPr>
        <w:pStyle w:val="BodyText"/>
        <w:ind w:left="219" w:right="215"/>
        <w:jc w:val="both"/>
      </w:pPr>
      <w:r>
        <w:rPr/>
        <w:t>La capacidad de gestión se puede medir y el rendimiento operativo se puede diagnosticar, por medio de una lista o grupo de indicadores de gestión que se pueden agrupar en cuatro categorías principales: indicadores técnicos, indicadores comerciales, indicadores laborales e indicadores del servicio.</w:t>
      </w:r>
    </w:p>
    <w:p>
      <w:pPr>
        <w:pStyle w:val="BodyText"/>
        <w:spacing w:before="11"/>
        <w:rPr>
          <w:sz w:val="22"/>
        </w:rPr>
      </w:pPr>
    </w:p>
    <w:p>
      <w:pPr>
        <w:pStyle w:val="BodyText"/>
        <w:ind w:left="219" w:right="214"/>
        <w:jc w:val="both"/>
      </w:pPr>
      <w:r>
        <w:rPr/>
        <w:t>El aumento de eficiencia de las empresas requiere como medida previa un diagnóstico detallado, a través de una auditoría operativa y financiera que permita identificar las debilidades en la gestión de cada empresa, tanto a nivel de capacidades como a nivel de procesos. Este diagnóstico deberá servir para la elaboración del un plan de optimización interna que incluya al menos lo siguiente: (i) plan de racionalización y capacitación de personal; (ii) organización de la empresa en centros de costo que permitan la estructuración de metas de eficiencia por área, y la racionalización de costos; (iii) definición de metas de mediano y largo plazo para los indicadores de gestión de las empresas: margen</w:t>
      </w:r>
      <w:r>
        <w:rPr>
          <w:spacing w:val="11"/>
        </w:rPr>
        <w:t> </w:t>
      </w:r>
      <w:r>
        <w:rPr/>
        <w:t>operativo,</w:t>
      </w:r>
      <w:r>
        <w:rPr>
          <w:spacing w:val="10"/>
        </w:rPr>
        <w:t> </w:t>
      </w:r>
      <w:r>
        <w:rPr/>
        <w:t>margen</w:t>
      </w:r>
      <w:r>
        <w:rPr>
          <w:spacing w:val="11"/>
        </w:rPr>
        <w:t> </w:t>
      </w:r>
      <w:r>
        <w:rPr/>
        <w:t>de</w:t>
      </w:r>
      <w:r>
        <w:rPr>
          <w:spacing w:val="11"/>
        </w:rPr>
        <w:t> </w:t>
      </w:r>
      <w:r>
        <w:rPr/>
        <w:t>ganancia,</w:t>
      </w:r>
      <w:r>
        <w:rPr>
          <w:spacing w:val="10"/>
        </w:rPr>
        <w:t> </w:t>
      </w:r>
      <w:r>
        <w:rPr/>
        <w:t>utilidad/activo</w:t>
      </w:r>
      <w:r>
        <w:rPr>
          <w:spacing w:val="9"/>
        </w:rPr>
        <w:t> </w:t>
      </w:r>
      <w:r>
        <w:rPr/>
        <w:t>fijo,</w:t>
      </w:r>
      <w:r>
        <w:rPr>
          <w:spacing w:val="10"/>
        </w:rPr>
        <w:t> </w:t>
      </w:r>
      <w:r>
        <w:rPr/>
        <w:t>etc.;</w:t>
      </w:r>
      <w:r>
        <w:rPr>
          <w:spacing w:val="8"/>
        </w:rPr>
        <w:t> </w:t>
      </w:r>
      <w:r>
        <w:rPr/>
        <w:t>(iv)</w:t>
      </w:r>
      <w:r>
        <w:rPr>
          <w:spacing w:val="10"/>
        </w:rPr>
        <w:t> </w:t>
      </w:r>
      <w:r>
        <w:rPr/>
        <w:t>cambios</w:t>
      </w:r>
      <w:r>
        <w:rPr>
          <w:spacing w:val="11"/>
        </w:rPr>
        <w:t> </w:t>
      </w:r>
      <w:r>
        <w:rPr/>
        <w:t>en</w:t>
      </w:r>
      <w:r>
        <w:rPr>
          <w:spacing w:val="12"/>
        </w:rPr>
        <w:t> </w:t>
      </w:r>
      <w:r>
        <w:rPr/>
        <w:t>el</w:t>
      </w:r>
    </w:p>
    <w:p>
      <w:pPr>
        <w:spacing w:after="0"/>
        <w:jc w:val="both"/>
        <w:sectPr>
          <w:pgSz w:w="12240" w:h="15840"/>
          <w:pgMar w:header="718" w:footer="954" w:top="1500" w:bottom="1140" w:left="1220" w:right="1220"/>
        </w:sectPr>
      </w:pPr>
    </w:p>
    <w:p>
      <w:pPr>
        <w:pStyle w:val="BodyText"/>
        <w:spacing w:before="113"/>
        <w:ind w:left="219" w:right="216"/>
        <w:jc w:val="both"/>
      </w:pPr>
      <w:r>
        <w:rPr/>
        <w:t>gobierno corporativo de las EDEs. Adicionalmente, se propone establecer un sistema de Convenios de Gestión que busca la instauración de una práctica permanente de explicitación de objetivos y evaluación de su cumplimiento.</w:t>
      </w:r>
    </w:p>
    <w:p>
      <w:pPr>
        <w:pStyle w:val="BodyText"/>
        <w:spacing w:before="7"/>
      </w:pPr>
    </w:p>
    <w:p>
      <w:pPr>
        <w:pStyle w:val="Heading3"/>
        <w:ind w:left="1299"/>
        <w:rPr>
          <w:i/>
        </w:rPr>
      </w:pPr>
      <w:bookmarkStart w:name="_TOC_250070" w:id="29"/>
      <w:bookmarkEnd w:id="29"/>
      <w:r>
        <w:rPr>
          <w:i/>
          <w:w w:val="105"/>
        </w:rPr>
        <w:t>Fideicomiso</w:t>
      </w:r>
    </w:p>
    <w:p>
      <w:pPr>
        <w:pStyle w:val="BodyText"/>
        <w:spacing w:before="2"/>
        <w:rPr>
          <w:rFonts w:ascii="Times New Roman"/>
          <w:b/>
          <w:i/>
          <w:sz w:val="24"/>
        </w:rPr>
      </w:pPr>
    </w:p>
    <w:p>
      <w:pPr>
        <w:pStyle w:val="BodyText"/>
        <w:ind w:left="219" w:right="213"/>
        <w:jc w:val="both"/>
      </w:pPr>
      <w:r>
        <w:rPr/>
        <w:t>Los “apagones financieros” responden claramente a dos razones fundamentales: (i) la insuficiente generación de recursos (tanto propios del sistema como provenientes de las transferencias del gobierno) para pagar la totalidad de los costos del servicio eléctrico; y (ii) un mecanismo de pagos inadecuado. Actualmente, el mecanismos de pagos a los generadores eléctricos tiene a la CDEEE como un elemento pivotal: todos los recursos que el Ministerio de Hacienda transfiere al sector eléctrico y parte de los recursos provenientes de la colección de las facturas eléctricas de las distribuidoras pasan a disposición de la CDEEE, quien se encarga de realizar los pagos a los generadores derivados de los contratos de compra-venta de electricidad.</w:t>
      </w:r>
    </w:p>
    <w:p>
      <w:pPr>
        <w:pStyle w:val="BodyText"/>
      </w:pPr>
    </w:p>
    <w:p>
      <w:pPr>
        <w:pStyle w:val="BodyText"/>
        <w:ind w:left="219" w:right="214"/>
        <w:jc w:val="both"/>
      </w:pPr>
      <w:r>
        <w:rPr/>
        <w:t>El esquema de pagos actual adolece de varios defectos: (i) insuficiente transparencia en la asignación de los recursos financieros, (ii) roles contrapuestos (juez y parte) en la CDEEE,</w:t>
      </w:r>
    </w:p>
    <w:p>
      <w:pPr>
        <w:pStyle w:val="BodyText"/>
        <w:ind w:left="219" w:right="315"/>
      </w:pPr>
      <w:r>
        <w:rPr/>
        <w:t>(iii) falta de transparencia en la priorización de los pagos; y (iv) falta de predictibilidad en los pagos afecta el costo de</w:t>
      </w:r>
      <w:r>
        <w:rPr>
          <w:spacing w:val="-1"/>
        </w:rPr>
        <w:t> </w:t>
      </w:r>
      <w:r>
        <w:rPr/>
        <w:t>generación.</w:t>
      </w:r>
    </w:p>
    <w:p>
      <w:pPr>
        <w:pStyle w:val="BodyText"/>
        <w:spacing w:before="2"/>
      </w:pPr>
    </w:p>
    <w:p>
      <w:pPr>
        <w:pStyle w:val="BodyText"/>
        <w:spacing w:line="237" w:lineRule="auto"/>
        <w:ind w:left="219" w:right="214"/>
        <w:jc w:val="both"/>
      </w:pPr>
      <w:r>
        <w:rPr/>
        <w:t>La propuesta consiste en crear un fideicomiso intangible que garantice los recursos necesarios para el pago de las facturas eléctricas a los generadores (</w:t>
      </w:r>
      <w:r>
        <w:rPr>
          <w:i/>
          <w:sz w:val="24"/>
        </w:rPr>
        <w:t>escrow account</w:t>
      </w:r>
      <w:r>
        <w:rPr/>
        <w:t>). Esta sería una cuenta separada y protegida por Ley, con carácter intangible, y cuyos recursos sólo pueden utilizarse para el pago de las cuentas de la generación eléctrica.</w:t>
      </w:r>
    </w:p>
    <w:p>
      <w:pPr>
        <w:pStyle w:val="BodyText"/>
        <w:spacing w:before="8"/>
        <w:rPr>
          <w:sz w:val="22"/>
        </w:rPr>
      </w:pPr>
    </w:p>
    <w:p>
      <w:pPr>
        <w:pStyle w:val="BodyText"/>
        <w:ind w:left="219" w:right="214"/>
        <w:jc w:val="both"/>
      </w:pPr>
      <w:r>
        <w:rPr/>
        <w:t>El fideicomiso administra todos los recursos provenientes del Ministerio de Hacienda que constituyen transferencias al sector eléctrico, además de los recursos consignados bajo el Fondo de Estabilización de la Tarifa Eléctrica, los cuales deben utilizarse exclusivamente para: (i) pagar las facturas eléctricas a los generadores tanto privados como públicos, derivados de contratos de suministro con las EDEs para atender el servicio público de electricidad; y (ii) pagar por el servicio de transmisión destinado a atender al servicio público de electricidad. La administración de fideicomisos es una actividad típicamente bancaria, por ello resulta fundamental que la administración del fideicomiso sea realizada por una entidad financiera independiente de todos los agentes del</w:t>
      </w:r>
      <w:r>
        <w:rPr>
          <w:spacing w:val="-8"/>
        </w:rPr>
        <w:t> </w:t>
      </w:r>
      <w:r>
        <w:rPr/>
        <w:t>sector.</w:t>
      </w:r>
    </w:p>
    <w:p>
      <w:pPr>
        <w:pStyle w:val="BodyText"/>
        <w:spacing w:before="7"/>
      </w:pPr>
    </w:p>
    <w:p>
      <w:pPr>
        <w:pStyle w:val="Heading3"/>
        <w:ind w:left="1299"/>
        <w:rPr>
          <w:i/>
        </w:rPr>
      </w:pPr>
      <w:bookmarkStart w:name="_TOC_250069" w:id="30"/>
      <w:bookmarkEnd w:id="30"/>
      <w:r>
        <w:rPr>
          <w:i/>
          <w:w w:val="110"/>
        </w:rPr>
        <w:t>Institucionalidad</w:t>
      </w:r>
    </w:p>
    <w:p>
      <w:pPr>
        <w:pStyle w:val="BodyText"/>
        <w:spacing w:before="2"/>
        <w:rPr>
          <w:rFonts w:ascii="Times New Roman"/>
          <w:b/>
          <w:i/>
          <w:sz w:val="24"/>
        </w:rPr>
      </w:pPr>
    </w:p>
    <w:p>
      <w:pPr>
        <w:pStyle w:val="BodyText"/>
        <w:ind w:left="219" w:right="214"/>
        <w:jc w:val="both"/>
      </w:pPr>
      <w:r>
        <w:rPr/>
        <w:t>La reforma de 1999 y la Ley General de Electricidad (LGE) de 2001 crearon sobre el papel un marco institucional muy completo, acorde con las mejores prácticas internacionales. Sin embargo, en la práctica, el único caso de una institución que ha desarrollado su cometido de forma eficaz ha sido el Organismo Coordinador (OC). En cambio, la CDEEE sigue desempeñando múltiples funciones superpuestas y se ha convertido en un ente demasiado grande y pesado para la realidad del sector eléctrico dominicano. La CDEEE sigue</w:t>
      </w:r>
      <w:r>
        <w:rPr>
          <w:spacing w:val="11"/>
        </w:rPr>
        <w:t> </w:t>
      </w:r>
      <w:r>
        <w:rPr/>
        <w:t>siendo el</w:t>
      </w:r>
    </w:p>
    <w:p>
      <w:pPr>
        <w:spacing w:after="0"/>
        <w:jc w:val="both"/>
        <w:sectPr>
          <w:pgSz w:w="12240" w:h="15840"/>
          <w:pgMar w:header="718" w:footer="954" w:top="1500" w:bottom="1140" w:left="1220" w:right="1220"/>
        </w:sectPr>
      </w:pPr>
    </w:p>
    <w:p>
      <w:pPr>
        <w:pStyle w:val="BodyText"/>
        <w:spacing w:before="113"/>
        <w:ind w:left="220" w:right="219"/>
        <w:jc w:val="both"/>
      </w:pPr>
      <w:r>
        <w:rPr/>
        <w:t>organismo que realiza de facto la planificación del sector</w:t>
      </w:r>
      <w:r>
        <w:rPr>
          <w:vertAlign w:val="superscript"/>
        </w:rPr>
        <w:t>17</w:t>
      </w:r>
      <w:r>
        <w:rPr>
          <w:vertAlign w:val="baseline"/>
        </w:rPr>
        <w:t>, en contraste con la escasa participación de la Comisión Nacional de Energía (CNE) -el organismo formalmente encargado de la planificación según la LGE- en estos procesos.</w:t>
      </w:r>
    </w:p>
    <w:p>
      <w:pPr>
        <w:pStyle w:val="BodyText"/>
      </w:pPr>
    </w:p>
    <w:p>
      <w:pPr>
        <w:pStyle w:val="BodyText"/>
        <w:spacing w:before="1"/>
        <w:ind w:left="219" w:right="215" w:hanging="1"/>
        <w:jc w:val="both"/>
      </w:pPr>
      <w:r>
        <w:rPr/>
        <w:t>Además de la anomalía institucional que refleja esta situación, se constatan graves carencias en el desempeño efectivo de la función de la planificación</w:t>
      </w:r>
      <w:r>
        <w:rPr>
          <w:spacing w:val="-13"/>
        </w:rPr>
        <w:t> </w:t>
      </w:r>
      <w:r>
        <w:rPr/>
        <w:t>sectorial.</w:t>
      </w:r>
    </w:p>
    <w:p>
      <w:pPr>
        <w:pStyle w:val="BodyText"/>
        <w:spacing w:before="11"/>
        <w:rPr>
          <w:sz w:val="22"/>
        </w:rPr>
      </w:pPr>
    </w:p>
    <w:p>
      <w:pPr>
        <w:pStyle w:val="BodyText"/>
        <w:spacing w:before="1"/>
        <w:ind w:left="219" w:right="214"/>
        <w:jc w:val="both"/>
      </w:pPr>
      <w:r>
        <w:rPr/>
        <w:t>En el caso de la Superintendencia de Electricidad (SIE), cuyas competencias y autonomía están establecidas por la Ley General de Electricidad de 2001 (LGE 125-01 modificada por la Ley 184), se aprecia que - en la práctica - la SIE no ha ejercido esas competencias de forma integral, en particular en lo referido a la regulación económica (materia tarifaria). En consecuencia, se ha configurado una situación en que las tarifas no se basan en los preceptos legales sino en criterios</w:t>
      </w:r>
      <w:r>
        <w:rPr>
          <w:spacing w:val="-1"/>
        </w:rPr>
        <w:t> </w:t>
      </w:r>
      <w:r>
        <w:rPr/>
        <w:t>políticos.</w:t>
      </w:r>
    </w:p>
    <w:p>
      <w:pPr>
        <w:pStyle w:val="BodyText"/>
      </w:pPr>
    </w:p>
    <w:p>
      <w:pPr>
        <w:pStyle w:val="BodyText"/>
        <w:ind w:left="220"/>
      </w:pPr>
      <w:r>
        <w:rPr/>
        <w:t>Propuestas:</w:t>
      </w:r>
    </w:p>
    <w:p>
      <w:pPr>
        <w:pStyle w:val="BodyText"/>
        <w:spacing w:before="11"/>
        <w:rPr>
          <w:sz w:val="22"/>
        </w:rPr>
      </w:pPr>
    </w:p>
    <w:p>
      <w:pPr>
        <w:pStyle w:val="ListParagraph"/>
        <w:numPr>
          <w:ilvl w:val="0"/>
          <w:numId w:val="21"/>
        </w:numPr>
        <w:tabs>
          <w:tab w:pos="622" w:val="left" w:leader="none"/>
        </w:tabs>
        <w:spacing w:line="240" w:lineRule="auto" w:before="0" w:after="0"/>
        <w:ind w:left="647" w:right="213" w:hanging="428"/>
        <w:jc w:val="both"/>
        <w:rPr>
          <w:sz w:val="23"/>
        </w:rPr>
      </w:pPr>
      <w:r>
        <w:rPr>
          <w:sz w:val="23"/>
        </w:rPr>
        <w:t>Ajustes en los mecanismos de gobierno corporativo de la CDEEE. Se propone proceder a una inmediata modificación de la composición del Consejo de Administración de la CDEEE, que apunte a asegurar una adecuada representación de otras entidades gubernamentales involucradas en el sector, incluyendo la participación del Ministerio de Hacienda y eventualmente también del Ministerio de Economía y</w:t>
      </w:r>
      <w:r>
        <w:rPr>
          <w:spacing w:val="-15"/>
          <w:sz w:val="23"/>
        </w:rPr>
        <w:t> </w:t>
      </w:r>
      <w:r>
        <w:rPr>
          <w:sz w:val="23"/>
        </w:rPr>
        <w:t>Planificación.</w:t>
      </w:r>
    </w:p>
    <w:p>
      <w:pPr>
        <w:pStyle w:val="ListParagraph"/>
        <w:numPr>
          <w:ilvl w:val="0"/>
          <w:numId w:val="21"/>
        </w:numPr>
        <w:tabs>
          <w:tab w:pos="634" w:val="left" w:leader="none"/>
        </w:tabs>
        <w:spacing w:line="240" w:lineRule="auto" w:before="2" w:after="0"/>
        <w:ind w:left="647" w:right="213" w:hanging="428"/>
        <w:jc w:val="both"/>
        <w:rPr>
          <w:sz w:val="23"/>
        </w:rPr>
      </w:pPr>
      <w:r>
        <w:rPr>
          <w:sz w:val="23"/>
        </w:rPr>
        <w:t>Reestructuración de la CDEEE. La estructura organizativa y plantilla actuales de la unidad corporativa de la CDEEE carecen de justificación dado el número excesivo de empleados. Asimismo, resulta imprescindible redefinir la situación institucional de la Unidad de Electrificación Rural y Suburbana (UERS) y del Programa de Reducción de Apagones (PRA), actualmente en la órbita de la CDEEE y que perderá sus atribuciones con la extinción del programa dada la creación del</w:t>
      </w:r>
      <w:r>
        <w:rPr>
          <w:spacing w:val="-8"/>
          <w:sz w:val="23"/>
        </w:rPr>
        <w:t> </w:t>
      </w:r>
      <w:r>
        <w:rPr>
          <w:sz w:val="23"/>
        </w:rPr>
        <w:t>BonoLuz.</w:t>
      </w:r>
    </w:p>
    <w:p>
      <w:pPr>
        <w:pStyle w:val="ListParagraph"/>
        <w:numPr>
          <w:ilvl w:val="0"/>
          <w:numId w:val="21"/>
        </w:numPr>
        <w:tabs>
          <w:tab w:pos="639" w:val="left" w:leader="none"/>
        </w:tabs>
        <w:spacing w:line="240" w:lineRule="auto" w:before="0" w:after="0"/>
        <w:ind w:left="647" w:right="214" w:hanging="428"/>
        <w:jc w:val="both"/>
        <w:rPr>
          <w:sz w:val="23"/>
        </w:rPr>
      </w:pPr>
      <w:r>
        <w:rPr>
          <w:sz w:val="23"/>
        </w:rPr>
        <w:t>Fortalecimiento institucional de la CNE. En forma coordinada con la reestructuración de la CDEEE, la CNE debe encarar un proceso de fortalecimiento institucional que le permita asumir plenamente sus funciones de organismo rector de la política pública en el sector eléctrico, particularmente en lo que concierne a la planificación indicativa y demás atribuciones indicadas en la LGE y el Decreto</w:t>
      </w:r>
      <w:r>
        <w:rPr>
          <w:spacing w:val="-7"/>
          <w:sz w:val="23"/>
        </w:rPr>
        <w:t> </w:t>
      </w:r>
      <w:r>
        <w:rPr>
          <w:sz w:val="23"/>
        </w:rPr>
        <w:t>923-09.</w:t>
      </w:r>
    </w:p>
    <w:p>
      <w:pPr>
        <w:pStyle w:val="ListParagraph"/>
        <w:numPr>
          <w:ilvl w:val="0"/>
          <w:numId w:val="21"/>
        </w:numPr>
        <w:tabs>
          <w:tab w:pos="648" w:val="left" w:leader="none"/>
        </w:tabs>
        <w:spacing w:line="240" w:lineRule="auto" w:before="0" w:after="0"/>
        <w:ind w:left="647" w:right="214" w:hanging="428"/>
        <w:jc w:val="both"/>
        <w:rPr>
          <w:sz w:val="23"/>
        </w:rPr>
      </w:pPr>
      <w:r>
        <w:rPr>
          <w:sz w:val="23"/>
        </w:rPr>
        <w:t>Fortalecimiento institucional de la SIE. Es imprescindible dotar de autonomía financiera y de gestión al organismo</w:t>
      </w:r>
      <w:r>
        <w:rPr>
          <w:spacing w:val="2"/>
          <w:sz w:val="23"/>
        </w:rPr>
        <w:t> </w:t>
      </w:r>
      <w:r>
        <w:rPr>
          <w:sz w:val="23"/>
        </w:rPr>
        <w:t>regulador.</w:t>
      </w:r>
    </w:p>
    <w:p>
      <w:pPr>
        <w:pStyle w:val="ListParagraph"/>
        <w:numPr>
          <w:ilvl w:val="0"/>
          <w:numId w:val="21"/>
        </w:numPr>
        <w:tabs>
          <w:tab w:pos="631" w:val="left" w:leader="none"/>
        </w:tabs>
        <w:spacing w:line="240" w:lineRule="auto" w:before="0" w:after="0"/>
        <w:ind w:left="647" w:right="214" w:hanging="428"/>
        <w:jc w:val="both"/>
        <w:rPr>
          <w:sz w:val="23"/>
        </w:rPr>
      </w:pPr>
      <w:r>
        <w:rPr>
          <w:sz w:val="23"/>
        </w:rPr>
        <w:t>Transparencia y participación en la regulación. La utilización de procesos públicos y participativos de toma de decisiones es una herramienta de alta efectividad</w:t>
      </w:r>
      <w:r>
        <w:rPr>
          <w:spacing w:val="18"/>
          <w:sz w:val="23"/>
        </w:rPr>
        <w:t> </w:t>
      </w:r>
      <w:r>
        <w:rPr>
          <w:sz w:val="23"/>
        </w:rPr>
        <w:t>para</w:t>
      </w:r>
    </w:p>
    <w:p>
      <w:pPr>
        <w:pStyle w:val="BodyText"/>
        <w:rPr>
          <w:sz w:val="20"/>
        </w:rPr>
      </w:pPr>
    </w:p>
    <w:p>
      <w:pPr>
        <w:pStyle w:val="BodyText"/>
        <w:rPr>
          <w:sz w:val="20"/>
        </w:rPr>
      </w:pPr>
    </w:p>
    <w:p>
      <w:pPr>
        <w:pStyle w:val="BodyText"/>
        <w:spacing w:before="9"/>
        <w:rPr>
          <w:sz w:val="12"/>
        </w:rPr>
      </w:pPr>
      <w:r>
        <w:rPr/>
        <w:pict>
          <v:rect style="position:absolute;margin-left:72pt;margin-top:9.685472pt;width:143.999997pt;height:.72pt;mso-position-horizontal-relative:page;mso-position-vertical-relative:paragraph;z-index:-15677440;mso-wrap-distance-left:0;mso-wrap-distance-right:0" filled="true" fillcolor="#000000" stroked="false">
            <v:fill type="solid"/>
            <w10:wrap type="topAndBottom"/>
          </v:rect>
        </w:pict>
      </w:r>
    </w:p>
    <w:p>
      <w:pPr>
        <w:spacing w:line="240" w:lineRule="auto" w:before="84"/>
        <w:ind w:left="219" w:right="216" w:firstLine="0"/>
        <w:jc w:val="both"/>
        <w:rPr>
          <w:rFonts w:ascii="Verdana" w:hAnsi="Verdana"/>
          <w:sz w:val="20"/>
        </w:rPr>
      </w:pPr>
      <w:r>
        <w:rPr>
          <w:rFonts w:ascii="Times New Roman" w:hAnsi="Times New Roman"/>
          <w:sz w:val="20"/>
          <w:vertAlign w:val="superscript"/>
        </w:rPr>
        <w:t>17</w:t>
      </w:r>
      <w:r>
        <w:rPr>
          <w:rFonts w:ascii="Times New Roman" w:hAnsi="Times New Roman"/>
          <w:sz w:val="20"/>
          <w:vertAlign w:val="baseline"/>
        </w:rPr>
        <w:t> </w:t>
      </w:r>
      <w:r>
        <w:rPr>
          <w:rFonts w:ascii="Verdana" w:hAnsi="Verdana"/>
          <w:sz w:val="20"/>
          <w:vertAlign w:val="baseline"/>
        </w:rPr>
        <w:t>El Decreto 923 de 2009 le asigna a la CDEEE el liderazgo y la coordinación de todas las estrategias, objetivos y actuaciones de las empresas eléctricas de carácter estatal, por lo tanto incrementando su rol en la planificación del sector. En el mismo Decreto se crea el </w:t>
      </w:r>
      <w:r>
        <w:rPr>
          <w:rFonts w:ascii="Verdana" w:hAnsi="Verdana"/>
          <w:b/>
          <w:sz w:val="20"/>
          <w:vertAlign w:val="baseline"/>
        </w:rPr>
        <w:t>Gabinete Ejecutivo del Sector Estatal Eléctrico</w:t>
      </w:r>
      <w:r>
        <w:rPr>
          <w:rFonts w:ascii="Verdana" w:hAnsi="Verdana"/>
          <w:sz w:val="20"/>
          <w:vertAlign w:val="baseline"/>
        </w:rPr>
        <w:t>, conformado por las empresas estatales del sector y presidido por el Vicepresidente Ejecutivo de la CDEEE, quien coordinará en una </w:t>
      </w:r>
      <w:r>
        <w:rPr>
          <w:rFonts w:ascii="Verdana" w:hAnsi="Verdana"/>
          <w:b/>
          <w:sz w:val="20"/>
          <w:vertAlign w:val="baseline"/>
        </w:rPr>
        <w:t>mesa de coordinación </w:t>
      </w:r>
      <w:r>
        <w:rPr>
          <w:rFonts w:ascii="Verdana" w:hAnsi="Verdana"/>
          <w:sz w:val="20"/>
          <w:vertAlign w:val="baseline"/>
        </w:rPr>
        <w:t>con la CNE la aplicación de políticas conjuntas del sector eléctrico nacional.</w:t>
      </w:r>
    </w:p>
    <w:p>
      <w:pPr>
        <w:spacing w:after="0" w:line="240" w:lineRule="auto"/>
        <w:jc w:val="both"/>
        <w:rPr>
          <w:rFonts w:ascii="Verdana" w:hAnsi="Verdana"/>
          <w:sz w:val="20"/>
        </w:rPr>
        <w:sectPr>
          <w:pgSz w:w="12240" w:h="15840"/>
          <w:pgMar w:header="718" w:footer="954" w:top="1500" w:bottom="1140" w:left="1220" w:right="1220"/>
        </w:sectPr>
      </w:pPr>
    </w:p>
    <w:p>
      <w:pPr>
        <w:pStyle w:val="BodyText"/>
        <w:spacing w:before="113"/>
        <w:ind w:left="647" w:right="213"/>
        <w:jc w:val="both"/>
      </w:pPr>
      <w:r>
        <w:rPr/>
        <w:t>aumentar la autonomía del regulador y fortalecer la transparencia en la aplicación de la regulación, a través del control social sobre el mismo.</w:t>
      </w:r>
    </w:p>
    <w:p>
      <w:pPr>
        <w:pStyle w:val="BodyText"/>
        <w:spacing w:before="6"/>
      </w:pPr>
    </w:p>
    <w:p>
      <w:pPr>
        <w:pStyle w:val="Heading3"/>
        <w:ind w:left="1299"/>
        <w:rPr>
          <w:i/>
        </w:rPr>
      </w:pPr>
      <w:bookmarkStart w:name="_TOC_250068" w:id="31"/>
      <w:bookmarkEnd w:id="31"/>
      <w:r>
        <w:rPr>
          <w:i/>
          <w:w w:val="110"/>
        </w:rPr>
        <w:t>Inversiones</w:t>
      </w:r>
    </w:p>
    <w:p>
      <w:pPr>
        <w:pStyle w:val="BodyText"/>
        <w:spacing w:before="2"/>
        <w:rPr>
          <w:rFonts w:ascii="Times New Roman"/>
          <w:b/>
          <w:i/>
          <w:sz w:val="24"/>
        </w:rPr>
      </w:pPr>
    </w:p>
    <w:p>
      <w:pPr>
        <w:pStyle w:val="BodyText"/>
        <w:ind w:left="579" w:right="215"/>
        <w:jc w:val="both"/>
      </w:pPr>
      <w:r>
        <w:rPr/>
        <w:t>En el corto plazo se requieren inversiones en generación, que de manera indicativa se estiman así:</w:t>
      </w:r>
    </w:p>
    <w:p>
      <w:pPr>
        <w:pStyle w:val="BodyText"/>
      </w:pPr>
    </w:p>
    <w:p>
      <w:pPr>
        <w:pStyle w:val="BodyText"/>
        <w:ind w:left="579" w:right="213"/>
        <w:jc w:val="both"/>
      </w:pPr>
      <w:r>
        <w:rPr/>
        <w:t>Generación.- Requerimiento de potencia adicional de 461 MW, sin considerar la eliminación inmediata de las restricciones en el suministro, debido principalmente a la inviabilidad de dicho objetivo.</w:t>
      </w:r>
    </w:p>
    <w:p>
      <w:pPr>
        <w:pStyle w:val="BodyText"/>
      </w:pPr>
    </w:p>
    <w:p>
      <w:pPr>
        <w:pStyle w:val="BodyText"/>
        <w:spacing w:before="1"/>
        <w:ind w:left="579" w:right="216"/>
        <w:jc w:val="both"/>
      </w:pPr>
      <w:r>
        <w:rPr/>
        <w:t>Considerando que actualmente no existen proyectos analizados y financiados que pudiesen comenzar a construirse en forma inmediata, cualquier aumento de generación en el período 2010-2011, al menos, requiere ser suplido por la capacidad existente, rehabilitada o re potenciada a través de inversiones de corto período de ejecución. En este contexto, las posibilidades identificadas son las siguientes:</w:t>
      </w:r>
    </w:p>
    <w:p>
      <w:pPr>
        <w:pStyle w:val="BodyText"/>
        <w:spacing w:before="11"/>
        <w:rPr>
          <w:sz w:val="22"/>
        </w:rPr>
      </w:pPr>
    </w:p>
    <w:p>
      <w:pPr>
        <w:pStyle w:val="ListParagraph"/>
        <w:numPr>
          <w:ilvl w:val="1"/>
          <w:numId w:val="21"/>
        </w:numPr>
        <w:tabs>
          <w:tab w:pos="770" w:val="left" w:leader="none"/>
        </w:tabs>
        <w:spacing w:line="240" w:lineRule="auto" w:before="1" w:after="0"/>
        <w:ind w:left="940" w:right="216" w:hanging="360"/>
        <w:jc w:val="both"/>
        <w:rPr>
          <w:sz w:val="23"/>
        </w:rPr>
      </w:pPr>
      <w:r>
        <w:rPr>
          <w:sz w:val="23"/>
        </w:rPr>
        <w:t>Aumento en las horas de funcionamiento de las unidades de ciclo abierto que utilizan Fuel N° 2.</w:t>
      </w:r>
    </w:p>
    <w:p>
      <w:pPr>
        <w:pStyle w:val="ListParagraph"/>
        <w:numPr>
          <w:ilvl w:val="1"/>
          <w:numId w:val="21"/>
        </w:numPr>
        <w:tabs>
          <w:tab w:pos="770" w:val="left" w:leader="none"/>
        </w:tabs>
        <w:spacing w:line="240" w:lineRule="auto" w:before="0" w:after="0"/>
        <w:ind w:left="939" w:right="215" w:hanging="360"/>
        <w:jc w:val="both"/>
        <w:rPr>
          <w:sz w:val="23"/>
        </w:rPr>
      </w:pPr>
      <w:r>
        <w:rPr>
          <w:sz w:val="23"/>
        </w:rPr>
        <w:t>Conversión de las unidades de ciclo abierto a ciclo combinado, lo que implica agregar capacidad de generación a través de inversiones, sin aumentar los costos totales de operación, es decir, reduciendo el costo medio de operación por kWh</w:t>
      </w:r>
      <w:r>
        <w:rPr>
          <w:spacing w:val="-17"/>
          <w:sz w:val="23"/>
        </w:rPr>
        <w:t> </w:t>
      </w:r>
      <w:r>
        <w:rPr>
          <w:sz w:val="23"/>
        </w:rPr>
        <w:t>generado.</w:t>
      </w:r>
    </w:p>
    <w:p>
      <w:pPr>
        <w:pStyle w:val="BodyText"/>
        <w:spacing w:before="11"/>
        <w:rPr>
          <w:sz w:val="22"/>
        </w:rPr>
      </w:pPr>
    </w:p>
    <w:p>
      <w:pPr>
        <w:pStyle w:val="BodyText"/>
        <w:spacing w:before="1"/>
        <w:ind w:left="580" w:right="214" w:hanging="1"/>
        <w:jc w:val="both"/>
      </w:pPr>
      <w:r>
        <w:rPr/>
        <w:t>Transmisión</w:t>
      </w:r>
      <w:r>
        <w:rPr>
          <w:b/>
        </w:rPr>
        <w:t>.</w:t>
      </w:r>
      <w:r>
        <w:rPr/>
        <w:t>- En lo que respecta a las necesidades de inversiones en transmisión, los estudios existentes concluyen que existen dos líneas de trabajo destacables; la primera es el reemplazo del actual sistema de transmisión a 138 kV por uno de 345 kV, y la segunda es la construcción de un sistema de transporte “troncal” a 345 kV para la conexión con el nordeste del país, ya en ejecución. En el primer caso, esto no se requeriría hasta que las transferencias de potencia alcancen los 2,500 MW, lo que según la demanda “punta” proyectada en los diversos escenarios no ocurriría antes de 2012, en caso de un alto crecimiento de la demanda. Considerando lo anterior, y bajo el supuesto del éxito del proceso de modernización, el país debe preparar las condiciones para incorporar nueva capacidad a partir de 2013. Eso significa que se requiere trabajar con urgencia en la definición de una política energética clara y un plan de expansión eléctrico coherente con dicha</w:t>
      </w:r>
      <w:r>
        <w:rPr>
          <w:spacing w:val="-2"/>
        </w:rPr>
        <w:t> </w:t>
      </w:r>
      <w:r>
        <w:rPr/>
        <w:t>política.</w:t>
      </w:r>
    </w:p>
    <w:p>
      <w:pPr>
        <w:pStyle w:val="BodyText"/>
      </w:pPr>
    </w:p>
    <w:p>
      <w:pPr>
        <w:pStyle w:val="BodyText"/>
        <w:ind w:left="580" w:right="215"/>
        <w:jc w:val="both"/>
      </w:pPr>
      <w:r>
        <w:rPr/>
        <w:t>Planificación.- Resulta imprescindible la elaboración de un Plan Integral de Expansión del Sector Eléctrico, cuya responsabilidad recae - de acuerdo a la institucionalidad vigente - en la Comisión Nacional de Energía (CNE), cuyos pasos a seguir son los siguientes:</w:t>
      </w:r>
    </w:p>
    <w:p>
      <w:pPr>
        <w:pStyle w:val="BodyText"/>
        <w:spacing w:before="11"/>
        <w:rPr>
          <w:sz w:val="22"/>
        </w:rPr>
      </w:pPr>
    </w:p>
    <w:p>
      <w:pPr>
        <w:pStyle w:val="ListParagraph"/>
        <w:numPr>
          <w:ilvl w:val="0"/>
          <w:numId w:val="22"/>
        </w:numPr>
        <w:tabs>
          <w:tab w:pos="1301" w:val="left" w:leader="none"/>
        </w:tabs>
        <w:spacing w:line="240" w:lineRule="auto" w:before="0" w:after="0"/>
        <w:ind w:left="1300" w:right="0" w:hanging="361"/>
        <w:jc w:val="left"/>
        <w:rPr>
          <w:sz w:val="23"/>
        </w:rPr>
      </w:pPr>
      <w:r>
        <w:rPr>
          <w:sz w:val="23"/>
        </w:rPr>
        <w:t>Análisis y definición de la estrategia de aumento de la</w:t>
      </w:r>
      <w:r>
        <w:rPr>
          <w:spacing w:val="-4"/>
          <w:sz w:val="23"/>
        </w:rPr>
        <w:t> </w:t>
      </w:r>
      <w:r>
        <w:rPr>
          <w:sz w:val="23"/>
        </w:rPr>
        <w:t>oferta.</w:t>
      </w:r>
    </w:p>
    <w:p>
      <w:pPr>
        <w:spacing w:after="0" w:line="240" w:lineRule="auto"/>
        <w:jc w:val="left"/>
        <w:rPr>
          <w:sz w:val="23"/>
        </w:rPr>
        <w:sectPr>
          <w:pgSz w:w="12240" w:h="15840"/>
          <w:pgMar w:header="718" w:footer="954" w:top="1500" w:bottom="1140" w:left="1220" w:right="1220"/>
        </w:sectPr>
      </w:pPr>
    </w:p>
    <w:p>
      <w:pPr>
        <w:pStyle w:val="ListParagraph"/>
        <w:numPr>
          <w:ilvl w:val="0"/>
          <w:numId w:val="22"/>
        </w:numPr>
        <w:tabs>
          <w:tab w:pos="1272" w:val="left" w:leader="none"/>
        </w:tabs>
        <w:spacing w:line="240" w:lineRule="auto" w:before="113" w:after="0"/>
        <w:ind w:left="1299" w:right="215" w:hanging="360"/>
        <w:jc w:val="both"/>
        <w:rPr>
          <w:sz w:val="23"/>
        </w:rPr>
      </w:pPr>
      <w:r>
        <w:rPr>
          <w:sz w:val="23"/>
        </w:rPr>
        <w:t>Determinación de las posibilidades de rehabilitación y re potenciamiento de la capacidad instalada actual, y evaluación de la reserva óptima requerida por el sistema.</w:t>
      </w:r>
    </w:p>
    <w:p>
      <w:pPr>
        <w:pStyle w:val="ListParagraph"/>
        <w:numPr>
          <w:ilvl w:val="0"/>
          <w:numId w:val="22"/>
        </w:numPr>
        <w:tabs>
          <w:tab w:pos="1236" w:val="left" w:leader="none"/>
        </w:tabs>
        <w:spacing w:line="240" w:lineRule="auto" w:before="0" w:after="0"/>
        <w:ind w:left="1300" w:right="217" w:hanging="360"/>
        <w:jc w:val="both"/>
        <w:rPr>
          <w:sz w:val="23"/>
        </w:rPr>
      </w:pPr>
      <w:r>
        <w:rPr>
          <w:sz w:val="23"/>
        </w:rPr>
        <w:t>Evaluación del tamaño límite de las unidades generadoras que es técnicamente posible considerar para la expansión del</w:t>
      </w:r>
      <w:r>
        <w:rPr>
          <w:spacing w:val="-3"/>
          <w:sz w:val="23"/>
        </w:rPr>
        <w:t> </w:t>
      </w:r>
      <w:r>
        <w:rPr>
          <w:sz w:val="23"/>
        </w:rPr>
        <w:t>sistema.</w:t>
      </w:r>
    </w:p>
    <w:p>
      <w:pPr>
        <w:pStyle w:val="ListParagraph"/>
        <w:numPr>
          <w:ilvl w:val="0"/>
          <w:numId w:val="22"/>
        </w:numPr>
        <w:tabs>
          <w:tab w:pos="1231" w:val="left" w:leader="none"/>
        </w:tabs>
        <w:spacing w:line="240" w:lineRule="auto" w:before="1" w:after="0"/>
        <w:ind w:left="1299" w:right="215" w:hanging="360"/>
        <w:jc w:val="both"/>
        <w:rPr>
          <w:sz w:val="23"/>
        </w:rPr>
      </w:pPr>
      <w:r>
        <w:rPr>
          <w:sz w:val="23"/>
        </w:rPr>
        <w:t>Recopilación del potencial para el desarrollo de fuentes de energías renovables no convencionales (mini centrales hidroeléctricas, eólica y</w:t>
      </w:r>
      <w:r>
        <w:rPr>
          <w:spacing w:val="-7"/>
          <w:sz w:val="23"/>
        </w:rPr>
        <w:t> </w:t>
      </w:r>
      <w:r>
        <w:rPr>
          <w:sz w:val="23"/>
        </w:rPr>
        <w:t>biomasa).</w:t>
      </w:r>
    </w:p>
    <w:p>
      <w:pPr>
        <w:pStyle w:val="ListParagraph"/>
        <w:numPr>
          <w:ilvl w:val="0"/>
          <w:numId w:val="22"/>
        </w:numPr>
        <w:tabs>
          <w:tab w:pos="1303" w:val="left" w:leader="none"/>
        </w:tabs>
        <w:spacing w:line="240" w:lineRule="auto" w:before="0" w:after="0"/>
        <w:ind w:left="1299" w:right="215" w:hanging="360"/>
        <w:jc w:val="both"/>
        <w:rPr>
          <w:sz w:val="23"/>
        </w:rPr>
      </w:pPr>
      <w:r>
        <w:rPr>
          <w:sz w:val="23"/>
        </w:rPr>
        <w:t>Análisis de la competitividad de las energías renovables no convencionales (ERNC), e identificación del modelo económico e instrumentos de fomento para su desarrollo.</w:t>
      </w:r>
    </w:p>
    <w:p>
      <w:pPr>
        <w:pStyle w:val="ListParagraph"/>
        <w:numPr>
          <w:ilvl w:val="0"/>
          <w:numId w:val="22"/>
        </w:numPr>
        <w:tabs>
          <w:tab w:pos="1221" w:val="left" w:leader="none"/>
        </w:tabs>
        <w:spacing w:line="240" w:lineRule="auto" w:before="0" w:after="0"/>
        <w:ind w:left="1299" w:right="216" w:hanging="360"/>
        <w:jc w:val="both"/>
        <w:rPr>
          <w:sz w:val="23"/>
        </w:rPr>
      </w:pPr>
      <w:r>
        <w:rPr>
          <w:sz w:val="23"/>
        </w:rPr>
        <w:t>Análisis del modelo regulatorio y económico de la expansión de la generación (procedimientos de licitación de contratos, modelos de contratación, entre</w:t>
      </w:r>
      <w:r>
        <w:rPr>
          <w:spacing w:val="-31"/>
          <w:sz w:val="23"/>
        </w:rPr>
        <w:t> </w:t>
      </w:r>
      <w:r>
        <w:rPr>
          <w:sz w:val="23"/>
        </w:rPr>
        <w:t>otros).</w:t>
      </w:r>
    </w:p>
    <w:p>
      <w:pPr>
        <w:pStyle w:val="ListParagraph"/>
        <w:numPr>
          <w:ilvl w:val="0"/>
          <w:numId w:val="22"/>
        </w:numPr>
        <w:tabs>
          <w:tab w:pos="1267" w:val="left" w:leader="none"/>
        </w:tabs>
        <w:spacing w:line="240" w:lineRule="auto" w:before="1" w:after="0"/>
        <w:ind w:left="1299" w:right="216" w:hanging="360"/>
        <w:jc w:val="both"/>
        <w:rPr>
          <w:sz w:val="23"/>
        </w:rPr>
      </w:pPr>
      <w:r>
        <w:rPr>
          <w:sz w:val="23"/>
        </w:rPr>
        <w:t>Elaboración de un plan de expansión indicativo: identificación de la mezcla de tecnologías y programa de aumento de</w:t>
      </w:r>
      <w:r>
        <w:rPr>
          <w:spacing w:val="-2"/>
          <w:sz w:val="23"/>
        </w:rPr>
        <w:t> </w:t>
      </w:r>
      <w:r>
        <w:rPr>
          <w:sz w:val="23"/>
        </w:rPr>
        <w:t>capacidad.</w:t>
      </w:r>
    </w:p>
    <w:p>
      <w:pPr>
        <w:pStyle w:val="BodyText"/>
      </w:pPr>
    </w:p>
    <w:p>
      <w:pPr>
        <w:pStyle w:val="BodyText"/>
        <w:ind w:left="219"/>
      </w:pPr>
      <w:r>
        <w:rPr/>
        <w:t>Los temas de la expansión serán tratados en la sección siguiente correspondiente a los lineamientos estratégicos de largo plazo.</w:t>
      </w:r>
    </w:p>
    <w:p>
      <w:pPr>
        <w:pStyle w:val="BodyText"/>
      </w:pPr>
    </w:p>
    <w:p>
      <w:pPr>
        <w:pStyle w:val="BodyText"/>
        <w:ind w:left="219" w:right="214"/>
        <w:jc w:val="both"/>
      </w:pPr>
      <w:r>
        <w:rPr/>
        <w:t>Es importante destacar el grado de urgencia de los trabajos antes listados. La puesta en servicio de nueva capacidad durante el año 2013 implica la necesidad de que la definición de la estrategia y el plan de expansión indicativo estén finalizados a mediados de 2010, de modo que en el período 2010-2013 se ejecute la licitación de contratos, y la construcción. Esto significa que el Gobierno debe dar prioridad inmediata a los trabajos de estudio y planificación a ser realizados por la CNE y coordinados con la CDEEE, a la luz del decreto 923-09.</w:t>
      </w:r>
    </w:p>
    <w:p>
      <w:pPr>
        <w:pStyle w:val="BodyText"/>
        <w:spacing w:before="11"/>
        <w:rPr>
          <w:sz w:val="22"/>
        </w:rPr>
      </w:pPr>
    </w:p>
    <w:p>
      <w:pPr>
        <w:pStyle w:val="BodyText"/>
        <w:ind w:left="219" w:right="213"/>
        <w:jc w:val="both"/>
      </w:pPr>
      <w:r>
        <w:rPr/>
        <w:t>En la República Dominicana urge abordar en forma explícita la función de planificación de la expansión del sistema eléctrico. Se trata de una competencia indelegable del Estado y que puede ser ejercida en forma totalmente compatible con la gestión de las actividades empresariales por parte de agentes privados y públicos. Hoy en día, algunos países de la región están reconociendo la necesidad de avanzar hacia un nuevo modelo sectorial, que reconoce roles claramente definidos para el Estado y para los agentes empresarios.</w:t>
      </w:r>
    </w:p>
    <w:p>
      <w:pPr>
        <w:pStyle w:val="BodyText"/>
        <w:spacing w:before="1"/>
      </w:pPr>
    </w:p>
    <w:p>
      <w:pPr>
        <w:pStyle w:val="BodyText"/>
        <w:ind w:left="219"/>
        <w:jc w:val="both"/>
      </w:pPr>
      <w:r>
        <w:rPr/>
        <w:t>La Tabla 3.1 describe los lineamientos de política para el corto y mediano plazo.</w:t>
      </w:r>
    </w:p>
    <w:p>
      <w:pPr>
        <w:spacing w:after="0"/>
        <w:jc w:val="both"/>
        <w:sectPr>
          <w:pgSz w:w="12240" w:h="15840"/>
          <w:pgMar w:header="718" w:footer="954" w:top="1500" w:bottom="1140" w:left="1220" w:right="1220"/>
        </w:sectPr>
      </w:pPr>
    </w:p>
    <w:p>
      <w:pPr>
        <w:pStyle w:val="BodyText"/>
        <w:spacing w:before="4"/>
        <w:rPr>
          <w:sz w:val="11"/>
        </w:rPr>
      </w:pPr>
    </w:p>
    <w:p>
      <w:pPr>
        <w:pStyle w:val="Heading9"/>
        <w:spacing w:before="101"/>
        <w:ind w:left="3424" w:right="3439"/>
        <w:jc w:val="center"/>
      </w:pPr>
      <w:r>
        <w:rPr/>
        <w:t>Tabla 3.1 – Matriz de acciones de corto y mediano plazo</w:t>
      </w:r>
    </w:p>
    <w:p>
      <w:pPr>
        <w:pStyle w:val="BodyText"/>
        <w:spacing w:before="3"/>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3828"/>
        <w:gridCol w:w="3763"/>
        <w:gridCol w:w="3273"/>
      </w:tblGrid>
      <w:tr>
        <w:trPr>
          <w:trHeight w:val="553" w:hRule="atLeast"/>
        </w:trPr>
        <w:tc>
          <w:tcPr>
            <w:tcW w:w="2234" w:type="dxa"/>
            <w:shd w:val="clear" w:color="auto" w:fill="BFBFBF"/>
          </w:tcPr>
          <w:p>
            <w:pPr>
              <w:pStyle w:val="TableParagraph"/>
              <w:spacing w:line="275" w:lineRule="exact"/>
              <w:ind w:left="822" w:right="813"/>
              <w:jc w:val="center"/>
              <w:rPr>
                <w:sz w:val="23"/>
              </w:rPr>
            </w:pPr>
            <w:r>
              <w:rPr>
                <w:sz w:val="23"/>
              </w:rPr>
              <w:t>ÁREA</w:t>
            </w:r>
          </w:p>
        </w:tc>
        <w:tc>
          <w:tcPr>
            <w:tcW w:w="3828" w:type="dxa"/>
            <w:shd w:val="clear" w:color="auto" w:fill="BFBFBF"/>
          </w:tcPr>
          <w:p>
            <w:pPr>
              <w:pStyle w:val="TableParagraph"/>
              <w:spacing w:line="275" w:lineRule="exact"/>
              <w:ind w:left="454" w:right="441"/>
              <w:jc w:val="center"/>
              <w:rPr>
                <w:sz w:val="23"/>
              </w:rPr>
            </w:pPr>
            <w:r>
              <w:rPr>
                <w:sz w:val="23"/>
              </w:rPr>
              <w:t>MEDIDAS DE CORTO PLAZO</w:t>
            </w:r>
          </w:p>
          <w:p>
            <w:pPr>
              <w:pStyle w:val="TableParagraph"/>
              <w:spacing w:line="258" w:lineRule="exact"/>
              <w:ind w:left="453" w:right="441"/>
              <w:jc w:val="center"/>
              <w:rPr>
                <w:sz w:val="23"/>
              </w:rPr>
            </w:pPr>
            <w:r>
              <w:rPr>
                <w:sz w:val="23"/>
              </w:rPr>
              <w:t>(Próximos 12 meses)</w:t>
            </w:r>
          </w:p>
        </w:tc>
        <w:tc>
          <w:tcPr>
            <w:tcW w:w="3763" w:type="dxa"/>
            <w:shd w:val="clear" w:color="auto" w:fill="BFBFBF"/>
          </w:tcPr>
          <w:p>
            <w:pPr>
              <w:pStyle w:val="TableParagraph"/>
              <w:spacing w:line="275" w:lineRule="exact"/>
              <w:ind w:left="291" w:right="278"/>
              <w:jc w:val="center"/>
              <w:rPr>
                <w:sz w:val="23"/>
              </w:rPr>
            </w:pPr>
            <w:r>
              <w:rPr>
                <w:sz w:val="23"/>
              </w:rPr>
              <w:t>MEDIDAS DE MEDIANO PLAZO</w:t>
            </w:r>
          </w:p>
          <w:p>
            <w:pPr>
              <w:pStyle w:val="TableParagraph"/>
              <w:spacing w:line="258" w:lineRule="exact"/>
              <w:ind w:left="288" w:right="278"/>
              <w:jc w:val="center"/>
              <w:rPr>
                <w:sz w:val="23"/>
              </w:rPr>
            </w:pPr>
            <w:r>
              <w:rPr>
                <w:sz w:val="23"/>
              </w:rPr>
              <w:t>(Después de 2010)</w:t>
            </w:r>
          </w:p>
        </w:tc>
        <w:tc>
          <w:tcPr>
            <w:tcW w:w="3273" w:type="dxa"/>
            <w:shd w:val="clear" w:color="auto" w:fill="BFBFBF"/>
          </w:tcPr>
          <w:p>
            <w:pPr>
              <w:pStyle w:val="TableParagraph"/>
              <w:spacing w:line="275" w:lineRule="exact"/>
              <w:ind w:left="290"/>
              <w:rPr>
                <w:sz w:val="23"/>
              </w:rPr>
            </w:pPr>
            <w:r>
              <w:rPr>
                <w:sz w:val="23"/>
              </w:rPr>
              <w:t>RESULTADOS ESPERADOS</w:t>
            </w:r>
          </w:p>
        </w:tc>
      </w:tr>
      <w:tr>
        <w:trPr>
          <w:trHeight w:val="2413" w:hRule="atLeast"/>
        </w:trPr>
        <w:tc>
          <w:tcPr>
            <w:tcW w:w="2234" w:type="dxa"/>
          </w:tcPr>
          <w:p>
            <w:pPr>
              <w:pStyle w:val="TableParagraph"/>
              <w:spacing w:line="240" w:lineRule="exact"/>
              <w:ind w:left="107"/>
              <w:rPr>
                <w:sz w:val="20"/>
              </w:rPr>
            </w:pPr>
            <w:r>
              <w:rPr>
                <w:sz w:val="20"/>
              </w:rPr>
              <w:t>TARIFAS</w:t>
            </w:r>
          </w:p>
        </w:tc>
        <w:tc>
          <w:tcPr>
            <w:tcW w:w="3828" w:type="dxa"/>
          </w:tcPr>
          <w:p>
            <w:pPr>
              <w:pStyle w:val="TableParagraph"/>
              <w:ind w:left="108" w:right="131"/>
              <w:rPr>
                <w:sz w:val="20"/>
              </w:rPr>
            </w:pPr>
            <w:r>
              <w:rPr>
                <w:sz w:val="20"/>
              </w:rPr>
              <w:t>Incremento de las tarifas en junio y julio 2009, simplificación de bloques tarifarios, reducción subsidio tarifario (YA EJECUTADAS).</w:t>
            </w:r>
          </w:p>
          <w:p>
            <w:pPr>
              <w:pStyle w:val="TableParagraph"/>
              <w:numPr>
                <w:ilvl w:val="0"/>
                <w:numId w:val="23"/>
              </w:numPr>
              <w:tabs>
                <w:tab w:pos="339" w:val="left" w:leader="none"/>
              </w:tabs>
              <w:spacing w:line="240" w:lineRule="auto" w:before="0" w:after="0"/>
              <w:ind w:left="108" w:right="361" w:firstLine="0"/>
              <w:jc w:val="left"/>
              <w:rPr>
                <w:sz w:val="20"/>
              </w:rPr>
            </w:pPr>
            <w:r>
              <w:rPr>
                <w:sz w:val="20"/>
              </w:rPr>
              <w:t>Estudio para la determinación de la tarifa técnica y su trayectoria de transición.</w:t>
            </w:r>
          </w:p>
          <w:p>
            <w:pPr>
              <w:pStyle w:val="TableParagraph"/>
              <w:numPr>
                <w:ilvl w:val="0"/>
                <w:numId w:val="23"/>
              </w:numPr>
              <w:tabs>
                <w:tab w:pos="339" w:val="left" w:leader="none"/>
              </w:tabs>
              <w:spacing w:line="240" w:lineRule="auto" w:before="1" w:after="0"/>
              <w:ind w:left="108" w:right="488" w:firstLine="0"/>
              <w:jc w:val="left"/>
              <w:rPr>
                <w:sz w:val="20"/>
              </w:rPr>
            </w:pPr>
            <w:r>
              <w:rPr>
                <w:sz w:val="20"/>
              </w:rPr>
              <w:t>Determinar la mejor opción de cobertura (hedging) para manejar</w:t>
            </w:r>
            <w:r>
              <w:rPr>
                <w:spacing w:val="-11"/>
                <w:sz w:val="20"/>
              </w:rPr>
              <w:t> </w:t>
            </w:r>
            <w:r>
              <w:rPr>
                <w:sz w:val="20"/>
              </w:rPr>
              <w:t>el</w:t>
            </w:r>
          </w:p>
          <w:p>
            <w:pPr>
              <w:pStyle w:val="TableParagraph"/>
              <w:spacing w:line="220" w:lineRule="exact"/>
              <w:ind w:left="108"/>
              <w:rPr>
                <w:sz w:val="20"/>
              </w:rPr>
            </w:pPr>
            <w:r>
              <w:rPr>
                <w:sz w:val="20"/>
              </w:rPr>
              <w:t>riesgo petrolero.</w:t>
            </w:r>
          </w:p>
        </w:tc>
        <w:tc>
          <w:tcPr>
            <w:tcW w:w="3763" w:type="dxa"/>
          </w:tcPr>
          <w:p>
            <w:pPr>
              <w:pStyle w:val="TableParagraph"/>
              <w:numPr>
                <w:ilvl w:val="0"/>
                <w:numId w:val="24"/>
              </w:numPr>
              <w:tabs>
                <w:tab w:pos="442" w:val="left" w:leader="none"/>
              </w:tabs>
              <w:spacing w:line="240" w:lineRule="auto" w:before="0" w:after="0"/>
              <w:ind w:left="108" w:right="95" w:firstLine="0"/>
              <w:jc w:val="left"/>
              <w:rPr>
                <w:sz w:val="20"/>
              </w:rPr>
            </w:pPr>
            <w:r>
              <w:rPr>
                <w:sz w:val="20"/>
              </w:rPr>
              <w:t>Flexibilización de la tarifa según fórmula de ajuste.</w:t>
            </w:r>
          </w:p>
          <w:p>
            <w:pPr>
              <w:pStyle w:val="TableParagraph"/>
              <w:numPr>
                <w:ilvl w:val="0"/>
                <w:numId w:val="24"/>
              </w:numPr>
              <w:tabs>
                <w:tab w:pos="375" w:val="left" w:leader="none"/>
              </w:tabs>
              <w:spacing w:line="240" w:lineRule="auto" w:before="1" w:after="0"/>
              <w:ind w:left="108" w:right="92" w:firstLine="0"/>
              <w:jc w:val="left"/>
              <w:rPr>
                <w:sz w:val="20"/>
              </w:rPr>
            </w:pPr>
            <w:r>
              <w:rPr>
                <w:sz w:val="20"/>
              </w:rPr>
              <w:t>Ejecutar la transición hacia la tarifa técnica.</w:t>
            </w:r>
          </w:p>
          <w:p>
            <w:pPr>
              <w:pStyle w:val="TableParagraph"/>
              <w:numPr>
                <w:ilvl w:val="0"/>
                <w:numId w:val="24"/>
              </w:numPr>
              <w:tabs>
                <w:tab w:pos="397" w:val="left" w:leader="none"/>
              </w:tabs>
              <w:spacing w:line="240" w:lineRule="auto" w:before="0" w:after="0"/>
              <w:ind w:left="108" w:right="98" w:firstLine="0"/>
              <w:jc w:val="left"/>
              <w:rPr>
                <w:sz w:val="20"/>
              </w:rPr>
            </w:pPr>
            <w:r>
              <w:rPr>
                <w:sz w:val="20"/>
              </w:rPr>
              <w:t>Proceder a la contratación de una cobertura contra el riesgo</w:t>
            </w:r>
            <w:r>
              <w:rPr>
                <w:spacing w:val="-6"/>
                <w:sz w:val="20"/>
              </w:rPr>
              <w:t> </w:t>
            </w:r>
            <w:r>
              <w:rPr>
                <w:sz w:val="20"/>
              </w:rPr>
              <w:t>petrolero.</w:t>
            </w:r>
          </w:p>
        </w:tc>
        <w:tc>
          <w:tcPr>
            <w:tcW w:w="3273" w:type="dxa"/>
          </w:tcPr>
          <w:p>
            <w:pPr>
              <w:pStyle w:val="TableParagraph"/>
              <w:numPr>
                <w:ilvl w:val="0"/>
                <w:numId w:val="25"/>
              </w:numPr>
              <w:tabs>
                <w:tab w:pos="440" w:val="left" w:leader="none"/>
              </w:tabs>
              <w:spacing w:line="240" w:lineRule="auto" w:before="0" w:after="0"/>
              <w:ind w:left="108" w:right="93" w:firstLine="0"/>
              <w:jc w:val="both"/>
              <w:rPr>
                <w:sz w:val="20"/>
              </w:rPr>
            </w:pPr>
            <w:r>
              <w:rPr>
                <w:sz w:val="20"/>
              </w:rPr>
              <w:t>Tarifas más cercanas a los costos de producción que reducen la necesidad de</w:t>
            </w:r>
            <w:r>
              <w:rPr>
                <w:spacing w:val="-3"/>
                <w:sz w:val="20"/>
              </w:rPr>
              <w:t> </w:t>
            </w:r>
            <w:r>
              <w:rPr>
                <w:sz w:val="20"/>
              </w:rPr>
              <w:t>transferencias.</w:t>
            </w:r>
          </w:p>
          <w:p>
            <w:pPr>
              <w:pStyle w:val="TableParagraph"/>
              <w:numPr>
                <w:ilvl w:val="0"/>
                <w:numId w:val="25"/>
              </w:numPr>
              <w:tabs>
                <w:tab w:pos="347" w:val="left" w:leader="none"/>
              </w:tabs>
              <w:spacing w:line="240" w:lineRule="auto" w:before="0" w:after="0"/>
              <w:ind w:left="108" w:right="92" w:firstLine="0"/>
              <w:jc w:val="both"/>
              <w:rPr>
                <w:sz w:val="20"/>
              </w:rPr>
            </w:pPr>
            <w:r>
              <w:rPr>
                <w:sz w:val="20"/>
              </w:rPr>
              <w:t>Obtener tarifa que cubra costos eficientes y que permita la reducción progresiva de</w:t>
            </w:r>
            <w:r>
              <w:rPr>
                <w:spacing w:val="-7"/>
                <w:sz w:val="20"/>
              </w:rPr>
              <w:t> </w:t>
            </w:r>
            <w:r>
              <w:rPr>
                <w:sz w:val="20"/>
              </w:rPr>
              <w:t>pérdidas.</w:t>
            </w:r>
          </w:p>
          <w:p>
            <w:pPr>
              <w:pStyle w:val="TableParagraph"/>
              <w:numPr>
                <w:ilvl w:val="0"/>
                <w:numId w:val="25"/>
              </w:numPr>
              <w:tabs>
                <w:tab w:pos="423" w:val="left" w:leader="none"/>
              </w:tabs>
              <w:spacing w:line="240" w:lineRule="auto" w:before="0" w:after="0"/>
              <w:ind w:left="108" w:right="94" w:firstLine="0"/>
              <w:jc w:val="both"/>
              <w:rPr>
                <w:sz w:val="20"/>
              </w:rPr>
            </w:pPr>
            <w:r>
              <w:rPr>
                <w:sz w:val="20"/>
              </w:rPr>
              <w:t>Aislar al sector eléctrico del riesgo</w:t>
            </w:r>
            <w:r>
              <w:rPr>
                <w:spacing w:val="-2"/>
                <w:sz w:val="20"/>
              </w:rPr>
              <w:t> </w:t>
            </w:r>
            <w:r>
              <w:rPr>
                <w:sz w:val="20"/>
              </w:rPr>
              <w:t>petrolero.</w:t>
            </w:r>
          </w:p>
        </w:tc>
      </w:tr>
      <w:tr>
        <w:trPr>
          <w:trHeight w:val="1931" w:hRule="atLeast"/>
        </w:trPr>
        <w:tc>
          <w:tcPr>
            <w:tcW w:w="2234" w:type="dxa"/>
          </w:tcPr>
          <w:p>
            <w:pPr>
              <w:pStyle w:val="TableParagraph"/>
              <w:spacing w:line="240" w:lineRule="exact"/>
              <w:ind w:left="107"/>
              <w:rPr>
                <w:sz w:val="20"/>
              </w:rPr>
            </w:pPr>
            <w:r>
              <w:rPr>
                <w:sz w:val="20"/>
              </w:rPr>
              <w:t>SUBSIDIOS</w:t>
            </w:r>
          </w:p>
        </w:tc>
        <w:tc>
          <w:tcPr>
            <w:tcW w:w="3828" w:type="dxa"/>
          </w:tcPr>
          <w:p>
            <w:pPr>
              <w:pStyle w:val="TableParagraph"/>
              <w:numPr>
                <w:ilvl w:val="0"/>
                <w:numId w:val="26"/>
              </w:numPr>
              <w:tabs>
                <w:tab w:pos="339" w:val="left" w:leader="none"/>
              </w:tabs>
              <w:spacing w:line="240" w:lineRule="auto" w:before="0" w:after="0"/>
              <w:ind w:left="108" w:right="122" w:firstLine="0"/>
              <w:jc w:val="left"/>
              <w:rPr>
                <w:sz w:val="20"/>
              </w:rPr>
            </w:pPr>
            <w:r>
              <w:rPr>
                <w:sz w:val="20"/>
              </w:rPr>
              <w:t>Establecer cronograma detallado de eliminación del PRA y definición de fases para la implementación del BONOLUZ (zonas</w:t>
            </w:r>
            <w:r>
              <w:rPr>
                <w:spacing w:val="-2"/>
                <w:sz w:val="20"/>
              </w:rPr>
              <w:t> </w:t>
            </w:r>
            <w:r>
              <w:rPr>
                <w:sz w:val="20"/>
              </w:rPr>
              <w:t>PRA).</w:t>
            </w:r>
          </w:p>
          <w:p>
            <w:pPr>
              <w:pStyle w:val="TableParagraph"/>
              <w:numPr>
                <w:ilvl w:val="0"/>
                <w:numId w:val="26"/>
              </w:numPr>
              <w:tabs>
                <w:tab w:pos="339" w:val="left" w:leader="none"/>
              </w:tabs>
              <w:spacing w:line="240" w:lineRule="auto" w:before="0" w:after="0"/>
              <w:ind w:left="108" w:right="351" w:firstLine="0"/>
              <w:jc w:val="left"/>
              <w:rPr>
                <w:sz w:val="20"/>
              </w:rPr>
            </w:pPr>
            <w:r>
              <w:rPr>
                <w:sz w:val="20"/>
              </w:rPr>
              <w:t>Cubrir con BonoLuz a las familias pobres actualmente residenciadas en zonas PRA (aproximadamente 200</w:t>
            </w:r>
            <w:r>
              <w:rPr>
                <w:spacing w:val="-14"/>
                <w:sz w:val="20"/>
              </w:rPr>
              <w:t> </w:t>
            </w:r>
            <w:r>
              <w:rPr>
                <w:sz w:val="20"/>
              </w:rPr>
              <w:t>mil</w:t>
            </w:r>
          </w:p>
          <w:p>
            <w:pPr>
              <w:pStyle w:val="TableParagraph"/>
              <w:spacing w:line="221" w:lineRule="exact" w:before="1"/>
              <w:ind w:left="108"/>
              <w:rPr>
                <w:sz w:val="20"/>
              </w:rPr>
            </w:pPr>
            <w:r>
              <w:rPr>
                <w:sz w:val="20"/>
              </w:rPr>
              <w:t>familias).</w:t>
            </w:r>
          </w:p>
        </w:tc>
        <w:tc>
          <w:tcPr>
            <w:tcW w:w="3763" w:type="dxa"/>
          </w:tcPr>
          <w:p>
            <w:pPr>
              <w:pStyle w:val="TableParagraph"/>
              <w:numPr>
                <w:ilvl w:val="0"/>
                <w:numId w:val="27"/>
              </w:numPr>
              <w:tabs>
                <w:tab w:pos="339" w:val="left" w:leader="none"/>
              </w:tabs>
              <w:spacing w:line="240" w:lineRule="auto" w:before="0" w:after="0"/>
              <w:ind w:left="108" w:right="270" w:firstLine="0"/>
              <w:jc w:val="left"/>
              <w:rPr>
                <w:sz w:val="20"/>
              </w:rPr>
            </w:pPr>
            <w:r>
              <w:rPr>
                <w:sz w:val="20"/>
              </w:rPr>
              <w:t>Implementación de la segunda fase del BONOLUZ en todo el país (zonas no-PRA).</w:t>
            </w:r>
          </w:p>
          <w:p>
            <w:pPr>
              <w:pStyle w:val="TableParagraph"/>
              <w:numPr>
                <w:ilvl w:val="0"/>
                <w:numId w:val="27"/>
              </w:numPr>
              <w:tabs>
                <w:tab w:pos="339" w:val="left" w:leader="none"/>
              </w:tabs>
              <w:spacing w:line="240" w:lineRule="auto" w:before="0" w:after="0"/>
              <w:ind w:left="108" w:right="201" w:firstLine="0"/>
              <w:jc w:val="left"/>
              <w:rPr>
                <w:sz w:val="20"/>
              </w:rPr>
            </w:pPr>
            <w:r>
              <w:rPr>
                <w:sz w:val="20"/>
              </w:rPr>
              <w:t>Cubrir con BonoLuz a todas las familias pobres (aproximadamente 829 mil familias pobres en todo el</w:t>
            </w:r>
            <w:r>
              <w:rPr>
                <w:spacing w:val="-7"/>
                <w:sz w:val="20"/>
              </w:rPr>
              <w:t> </w:t>
            </w:r>
            <w:r>
              <w:rPr>
                <w:sz w:val="20"/>
              </w:rPr>
              <w:t>país).</w:t>
            </w:r>
          </w:p>
        </w:tc>
        <w:tc>
          <w:tcPr>
            <w:tcW w:w="3273" w:type="dxa"/>
          </w:tcPr>
          <w:p>
            <w:pPr>
              <w:pStyle w:val="TableParagraph"/>
              <w:numPr>
                <w:ilvl w:val="0"/>
                <w:numId w:val="28"/>
              </w:numPr>
              <w:tabs>
                <w:tab w:pos="339" w:val="left" w:leader="none"/>
              </w:tabs>
              <w:spacing w:line="240" w:lineRule="auto" w:before="0" w:after="0"/>
              <w:ind w:left="108" w:right="569" w:firstLine="0"/>
              <w:jc w:val="left"/>
              <w:rPr>
                <w:sz w:val="20"/>
              </w:rPr>
            </w:pPr>
            <w:r>
              <w:rPr>
                <w:sz w:val="20"/>
              </w:rPr>
              <w:t>Creación de una red de protección social destinada a proteger a los pobres de la volatilidad de los costos de la electricidad.</w:t>
            </w:r>
          </w:p>
          <w:p>
            <w:pPr>
              <w:pStyle w:val="TableParagraph"/>
              <w:numPr>
                <w:ilvl w:val="0"/>
                <w:numId w:val="28"/>
              </w:numPr>
              <w:tabs>
                <w:tab w:pos="339" w:val="left" w:leader="none"/>
              </w:tabs>
              <w:spacing w:line="242" w:lineRule="exact" w:before="5" w:after="0"/>
              <w:ind w:left="108" w:right="155" w:firstLine="0"/>
              <w:jc w:val="both"/>
              <w:rPr>
                <w:sz w:val="20"/>
              </w:rPr>
            </w:pPr>
            <w:r>
              <w:rPr>
                <w:sz w:val="20"/>
              </w:rPr>
              <w:t>Cubrir a las familias pobres con un subsidio focalizado según nivel de</w:t>
            </w:r>
            <w:r>
              <w:rPr>
                <w:spacing w:val="-1"/>
                <w:sz w:val="20"/>
              </w:rPr>
              <w:t> </w:t>
            </w:r>
            <w:r>
              <w:rPr>
                <w:sz w:val="20"/>
              </w:rPr>
              <w:t>ingreso.</w:t>
            </w:r>
          </w:p>
        </w:tc>
      </w:tr>
      <w:tr>
        <w:trPr>
          <w:trHeight w:val="2167" w:hRule="atLeast"/>
        </w:trPr>
        <w:tc>
          <w:tcPr>
            <w:tcW w:w="2234" w:type="dxa"/>
          </w:tcPr>
          <w:p>
            <w:pPr>
              <w:pStyle w:val="TableParagraph"/>
              <w:spacing w:line="234" w:lineRule="exact"/>
              <w:ind w:left="107"/>
              <w:rPr>
                <w:sz w:val="20"/>
              </w:rPr>
            </w:pPr>
            <w:r>
              <w:rPr>
                <w:sz w:val="20"/>
              </w:rPr>
              <w:t>PÉRDIDAS</w:t>
            </w:r>
          </w:p>
          <w:p>
            <w:pPr>
              <w:pStyle w:val="TableParagraph"/>
              <w:spacing w:before="1"/>
              <w:ind w:left="107"/>
              <w:rPr>
                <w:sz w:val="20"/>
              </w:rPr>
            </w:pPr>
            <w:r>
              <w:rPr>
                <w:sz w:val="20"/>
              </w:rPr>
              <w:t>Y COBRANZAS</w:t>
            </w:r>
          </w:p>
        </w:tc>
        <w:tc>
          <w:tcPr>
            <w:tcW w:w="3828" w:type="dxa"/>
          </w:tcPr>
          <w:p>
            <w:pPr>
              <w:pStyle w:val="TableParagraph"/>
              <w:numPr>
                <w:ilvl w:val="0"/>
                <w:numId w:val="29"/>
              </w:numPr>
              <w:tabs>
                <w:tab w:pos="339" w:val="left" w:leader="none"/>
              </w:tabs>
              <w:spacing w:line="240" w:lineRule="auto" w:before="0" w:after="0"/>
              <w:ind w:left="108" w:right="110" w:firstLine="0"/>
              <w:jc w:val="left"/>
              <w:rPr>
                <w:sz w:val="20"/>
              </w:rPr>
            </w:pPr>
            <w:r>
              <w:rPr>
                <w:sz w:val="20"/>
              </w:rPr>
              <w:t>Establecer cronograma de reducción de pérdidas e incrementos de cobranzas consistentes con los Programas de Rehabilitación existentes (BID/BM) y</w:t>
            </w:r>
            <w:r>
              <w:rPr>
                <w:spacing w:val="-17"/>
                <w:sz w:val="20"/>
              </w:rPr>
              <w:t> </w:t>
            </w:r>
            <w:r>
              <w:rPr>
                <w:sz w:val="20"/>
              </w:rPr>
              <w:t>con la tarifa técnica</w:t>
            </w:r>
            <w:r>
              <w:rPr>
                <w:spacing w:val="-1"/>
                <w:sz w:val="20"/>
              </w:rPr>
              <w:t> </w:t>
            </w:r>
            <w:r>
              <w:rPr>
                <w:sz w:val="20"/>
              </w:rPr>
              <w:t>determinada.</w:t>
            </w:r>
          </w:p>
          <w:p>
            <w:pPr>
              <w:pStyle w:val="TableParagraph"/>
              <w:numPr>
                <w:ilvl w:val="0"/>
                <w:numId w:val="29"/>
              </w:numPr>
              <w:tabs>
                <w:tab w:pos="339" w:val="left" w:leader="none"/>
              </w:tabs>
              <w:spacing w:line="240" w:lineRule="auto" w:before="0" w:after="0"/>
              <w:ind w:left="108" w:right="351" w:firstLine="0"/>
              <w:jc w:val="left"/>
              <w:rPr>
                <w:sz w:val="20"/>
              </w:rPr>
            </w:pPr>
            <w:r>
              <w:rPr>
                <w:sz w:val="20"/>
              </w:rPr>
              <w:t>Establecer los convenios de gestión entre la SEH, la CDEEE, la SIE y las EDEs.</w:t>
            </w:r>
          </w:p>
        </w:tc>
        <w:tc>
          <w:tcPr>
            <w:tcW w:w="3763" w:type="dxa"/>
          </w:tcPr>
          <w:p>
            <w:pPr>
              <w:pStyle w:val="TableParagraph"/>
              <w:numPr>
                <w:ilvl w:val="0"/>
                <w:numId w:val="30"/>
              </w:numPr>
              <w:tabs>
                <w:tab w:pos="339" w:val="left" w:leader="none"/>
              </w:tabs>
              <w:spacing w:line="240" w:lineRule="auto" w:before="0" w:after="0"/>
              <w:ind w:left="108" w:right="119" w:firstLine="0"/>
              <w:jc w:val="left"/>
              <w:rPr>
                <w:sz w:val="20"/>
              </w:rPr>
            </w:pPr>
            <w:r>
              <w:rPr>
                <w:sz w:val="20"/>
              </w:rPr>
              <w:t>Monitorear el avance de las EDEs en materia de rehabilitación de redes, reducción de pérdidas e incrementos de cobranzas según los cronogramas establecidos.</w:t>
            </w:r>
          </w:p>
          <w:p>
            <w:pPr>
              <w:pStyle w:val="TableParagraph"/>
              <w:numPr>
                <w:ilvl w:val="0"/>
                <w:numId w:val="30"/>
              </w:numPr>
              <w:tabs>
                <w:tab w:pos="339" w:val="left" w:leader="none"/>
              </w:tabs>
              <w:spacing w:line="240" w:lineRule="auto" w:before="0" w:after="0"/>
              <w:ind w:left="108" w:right="533" w:firstLine="0"/>
              <w:jc w:val="left"/>
              <w:rPr>
                <w:sz w:val="20"/>
              </w:rPr>
            </w:pPr>
            <w:r>
              <w:rPr>
                <w:sz w:val="20"/>
              </w:rPr>
              <w:t>Hacer un seguimiento a los convenios de gestión y asegurar su exigibilidad.</w:t>
            </w:r>
          </w:p>
        </w:tc>
        <w:tc>
          <w:tcPr>
            <w:tcW w:w="3273" w:type="dxa"/>
          </w:tcPr>
          <w:p>
            <w:pPr>
              <w:pStyle w:val="TableParagraph"/>
              <w:numPr>
                <w:ilvl w:val="0"/>
                <w:numId w:val="31"/>
              </w:numPr>
              <w:tabs>
                <w:tab w:pos="339" w:val="left" w:leader="none"/>
              </w:tabs>
              <w:spacing w:line="240" w:lineRule="auto" w:before="0" w:after="0"/>
              <w:ind w:left="108" w:right="117" w:firstLine="0"/>
              <w:jc w:val="left"/>
              <w:rPr>
                <w:sz w:val="20"/>
              </w:rPr>
            </w:pPr>
            <w:r>
              <w:rPr>
                <w:sz w:val="20"/>
              </w:rPr>
              <w:t>Alcanzar estándares de pérdidas y de cobranzas consistentes con la tarifa técnica y con el resto de empresas de la región (alrededor del 12%-13% en pérdidas y 98% en</w:t>
            </w:r>
            <w:r>
              <w:rPr>
                <w:spacing w:val="-9"/>
                <w:sz w:val="20"/>
              </w:rPr>
              <w:t> </w:t>
            </w:r>
            <w:r>
              <w:rPr>
                <w:sz w:val="20"/>
              </w:rPr>
              <w:t>cobranzas).</w:t>
            </w:r>
          </w:p>
          <w:p>
            <w:pPr>
              <w:pStyle w:val="TableParagraph"/>
              <w:numPr>
                <w:ilvl w:val="0"/>
                <w:numId w:val="31"/>
              </w:numPr>
              <w:tabs>
                <w:tab w:pos="339" w:val="left" w:leader="none"/>
              </w:tabs>
              <w:spacing w:line="240" w:lineRule="auto" w:before="0" w:after="0"/>
              <w:ind w:left="108" w:right="639" w:firstLine="0"/>
              <w:jc w:val="left"/>
              <w:rPr>
                <w:sz w:val="20"/>
              </w:rPr>
            </w:pPr>
            <w:r>
              <w:rPr>
                <w:sz w:val="20"/>
              </w:rPr>
              <w:t>Gerencias de las EDEs comprometidas con</w:t>
            </w:r>
            <w:r>
              <w:rPr>
                <w:spacing w:val="-9"/>
                <w:sz w:val="20"/>
              </w:rPr>
              <w:t> </w:t>
            </w:r>
            <w:r>
              <w:rPr>
                <w:sz w:val="20"/>
              </w:rPr>
              <w:t>alcanzar</w:t>
            </w:r>
          </w:p>
          <w:p>
            <w:pPr>
              <w:pStyle w:val="TableParagraph"/>
              <w:spacing w:line="223" w:lineRule="exact"/>
              <w:ind w:left="108"/>
              <w:rPr>
                <w:sz w:val="20"/>
              </w:rPr>
            </w:pPr>
            <w:r>
              <w:rPr>
                <w:sz w:val="20"/>
              </w:rPr>
              <w:t>estándares de CRI del 86%-87%.</w:t>
            </w:r>
          </w:p>
        </w:tc>
      </w:tr>
      <w:tr>
        <w:trPr>
          <w:trHeight w:val="1446" w:hRule="atLeast"/>
        </w:trPr>
        <w:tc>
          <w:tcPr>
            <w:tcW w:w="2234" w:type="dxa"/>
          </w:tcPr>
          <w:p>
            <w:pPr>
              <w:pStyle w:val="TableParagraph"/>
              <w:spacing w:line="240" w:lineRule="exact"/>
              <w:ind w:left="107"/>
              <w:rPr>
                <w:sz w:val="20"/>
              </w:rPr>
            </w:pPr>
            <w:r>
              <w:rPr>
                <w:sz w:val="20"/>
              </w:rPr>
              <w:t>GESTIÓN</w:t>
            </w:r>
          </w:p>
        </w:tc>
        <w:tc>
          <w:tcPr>
            <w:tcW w:w="3828" w:type="dxa"/>
          </w:tcPr>
          <w:p>
            <w:pPr>
              <w:pStyle w:val="TableParagraph"/>
              <w:numPr>
                <w:ilvl w:val="0"/>
                <w:numId w:val="32"/>
              </w:numPr>
              <w:tabs>
                <w:tab w:pos="339" w:val="left" w:leader="none"/>
              </w:tabs>
              <w:spacing w:line="240" w:lineRule="auto" w:before="0" w:after="0"/>
              <w:ind w:left="108" w:right="133" w:hanging="1"/>
              <w:jc w:val="left"/>
              <w:rPr>
                <w:sz w:val="20"/>
              </w:rPr>
            </w:pPr>
            <w:r>
              <w:rPr>
                <w:sz w:val="20"/>
              </w:rPr>
              <w:t>Diagnóstico de la situación financiera y operativa de la CDEEE y de cada una de las EDEs a través de auditorías realizadas por empresas</w:t>
            </w:r>
            <w:r>
              <w:rPr>
                <w:spacing w:val="-16"/>
                <w:sz w:val="20"/>
              </w:rPr>
              <w:t> </w:t>
            </w:r>
            <w:r>
              <w:rPr>
                <w:sz w:val="20"/>
              </w:rPr>
              <w:t>internacionales.</w:t>
            </w:r>
          </w:p>
          <w:p>
            <w:pPr>
              <w:pStyle w:val="TableParagraph"/>
              <w:numPr>
                <w:ilvl w:val="0"/>
                <w:numId w:val="32"/>
              </w:numPr>
              <w:tabs>
                <w:tab w:pos="339" w:val="left" w:leader="none"/>
              </w:tabs>
              <w:spacing w:line="242" w:lineRule="exact" w:before="4" w:after="0"/>
              <w:ind w:left="108" w:right="591" w:firstLine="0"/>
              <w:jc w:val="left"/>
              <w:rPr>
                <w:sz w:val="20"/>
              </w:rPr>
            </w:pPr>
            <w:r>
              <w:rPr>
                <w:sz w:val="20"/>
              </w:rPr>
              <w:t>Diseñar los convenios de gestión necesarios entre el Ministerio</w:t>
            </w:r>
            <w:r>
              <w:rPr>
                <w:spacing w:val="-7"/>
                <w:sz w:val="20"/>
              </w:rPr>
              <w:t> </w:t>
            </w:r>
            <w:r>
              <w:rPr>
                <w:sz w:val="20"/>
              </w:rPr>
              <w:t>de</w:t>
            </w:r>
          </w:p>
        </w:tc>
        <w:tc>
          <w:tcPr>
            <w:tcW w:w="3763" w:type="dxa"/>
          </w:tcPr>
          <w:p>
            <w:pPr>
              <w:pStyle w:val="TableParagraph"/>
              <w:numPr>
                <w:ilvl w:val="0"/>
                <w:numId w:val="33"/>
              </w:numPr>
              <w:tabs>
                <w:tab w:pos="339" w:val="left" w:leader="none"/>
              </w:tabs>
              <w:spacing w:line="240" w:lineRule="auto" w:before="0" w:after="0"/>
              <w:ind w:left="108" w:right="155" w:firstLine="0"/>
              <w:jc w:val="both"/>
              <w:rPr>
                <w:sz w:val="20"/>
              </w:rPr>
            </w:pPr>
            <w:r>
              <w:rPr>
                <w:sz w:val="20"/>
              </w:rPr>
              <w:t>Aplicación de las recomendaciones y hallazgos de las auditorías financieras y operativas.</w:t>
            </w:r>
          </w:p>
          <w:p>
            <w:pPr>
              <w:pStyle w:val="TableParagraph"/>
              <w:numPr>
                <w:ilvl w:val="0"/>
                <w:numId w:val="33"/>
              </w:numPr>
              <w:tabs>
                <w:tab w:pos="339" w:val="left" w:leader="none"/>
              </w:tabs>
              <w:spacing w:line="240" w:lineRule="auto" w:before="0" w:after="0"/>
              <w:ind w:left="108" w:right="586" w:firstLine="0"/>
              <w:jc w:val="left"/>
              <w:rPr>
                <w:sz w:val="20"/>
              </w:rPr>
            </w:pPr>
            <w:r>
              <w:rPr>
                <w:sz w:val="20"/>
              </w:rPr>
              <w:t>Monitorear el desempeño de los convenios de gestión y</w:t>
            </w:r>
            <w:r>
              <w:rPr>
                <w:spacing w:val="-5"/>
                <w:sz w:val="20"/>
              </w:rPr>
              <w:t> </w:t>
            </w:r>
            <w:r>
              <w:rPr>
                <w:sz w:val="20"/>
              </w:rPr>
              <w:t>hacerlos</w:t>
            </w:r>
          </w:p>
          <w:p>
            <w:pPr>
              <w:pStyle w:val="TableParagraph"/>
              <w:spacing w:line="220" w:lineRule="exact"/>
              <w:ind w:left="108"/>
              <w:rPr>
                <w:sz w:val="20"/>
              </w:rPr>
            </w:pPr>
            <w:r>
              <w:rPr>
                <w:sz w:val="20"/>
              </w:rPr>
              <w:t>exigibles y con mecanismos de control</w:t>
            </w:r>
          </w:p>
        </w:tc>
        <w:tc>
          <w:tcPr>
            <w:tcW w:w="3273" w:type="dxa"/>
          </w:tcPr>
          <w:p>
            <w:pPr>
              <w:pStyle w:val="TableParagraph"/>
              <w:numPr>
                <w:ilvl w:val="0"/>
                <w:numId w:val="34"/>
              </w:numPr>
              <w:tabs>
                <w:tab w:pos="339" w:val="left" w:leader="none"/>
              </w:tabs>
              <w:spacing w:line="240" w:lineRule="auto" w:before="0" w:after="0"/>
              <w:ind w:left="108" w:right="158" w:firstLine="0"/>
              <w:jc w:val="left"/>
              <w:rPr>
                <w:sz w:val="20"/>
              </w:rPr>
            </w:pPr>
            <w:r>
              <w:rPr>
                <w:sz w:val="20"/>
              </w:rPr>
              <w:t>Establecimiento de una situación base de la CDEEE y de las EDEs en términos operativos</w:t>
            </w:r>
            <w:r>
              <w:rPr>
                <w:spacing w:val="-13"/>
                <w:sz w:val="20"/>
              </w:rPr>
              <w:t> </w:t>
            </w:r>
            <w:r>
              <w:rPr>
                <w:sz w:val="20"/>
              </w:rPr>
              <w:t>y financieros.</w:t>
            </w:r>
          </w:p>
          <w:p>
            <w:pPr>
              <w:pStyle w:val="TableParagraph"/>
              <w:numPr>
                <w:ilvl w:val="0"/>
                <w:numId w:val="34"/>
              </w:numPr>
              <w:tabs>
                <w:tab w:pos="339" w:val="left" w:leader="none"/>
              </w:tabs>
              <w:spacing w:line="242" w:lineRule="exact" w:before="4" w:after="0"/>
              <w:ind w:left="108" w:right="331" w:firstLine="0"/>
              <w:jc w:val="left"/>
              <w:rPr>
                <w:sz w:val="20"/>
              </w:rPr>
            </w:pPr>
            <w:r>
              <w:rPr>
                <w:sz w:val="20"/>
              </w:rPr>
              <w:t>Alcanzar niveles de eficiencia en las EDEs compatibles con</w:t>
            </w:r>
            <w:r>
              <w:rPr>
                <w:spacing w:val="-10"/>
                <w:sz w:val="20"/>
              </w:rPr>
              <w:t> </w:t>
            </w:r>
            <w:r>
              <w:rPr>
                <w:sz w:val="20"/>
              </w:rPr>
              <w:t>los</w:t>
            </w:r>
          </w:p>
        </w:tc>
      </w:tr>
    </w:tbl>
    <w:p>
      <w:pPr>
        <w:spacing w:after="0" w:line="242" w:lineRule="exact"/>
        <w:jc w:val="left"/>
        <w:rPr>
          <w:sz w:val="20"/>
        </w:rPr>
        <w:sectPr>
          <w:headerReference w:type="default" r:id="rId23"/>
          <w:footerReference w:type="default" r:id="rId24"/>
          <w:pgSz w:w="15840" w:h="12240" w:orient="landscape"/>
          <w:pgMar w:header="718" w:footer="954" w:top="1360" w:bottom="1140" w:left="1220" w:right="1280"/>
          <w:pgNumType w:start="39"/>
        </w:sectPr>
      </w:pPr>
    </w:p>
    <w:p>
      <w:pPr>
        <w:pStyle w:val="BodyText"/>
        <w:spacing w:before="10"/>
        <w:rPr>
          <w:b/>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3828"/>
        <w:gridCol w:w="3763"/>
        <w:gridCol w:w="3273"/>
      </w:tblGrid>
      <w:tr>
        <w:trPr>
          <w:trHeight w:val="484" w:hRule="atLeast"/>
        </w:trPr>
        <w:tc>
          <w:tcPr>
            <w:tcW w:w="2234" w:type="dxa"/>
          </w:tcPr>
          <w:p>
            <w:pPr>
              <w:pStyle w:val="TableParagraph"/>
              <w:rPr>
                <w:rFonts w:ascii="Times New Roman"/>
                <w:sz w:val="18"/>
              </w:rPr>
            </w:pPr>
          </w:p>
        </w:tc>
        <w:tc>
          <w:tcPr>
            <w:tcW w:w="3828" w:type="dxa"/>
          </w:tcPr>
          <w:p>
            <w:pPr>
              <w:pStyle w:val="TableParagraph"/>
              <w:spacing w:line="240" w:lineRule="exact" w:before="9"/>
              <w:ind w:left="108" w:right="256"/>
              <w:rPr>
                <w:sz w:val="20"/>
              </w:rPr>
            </w:pPr>
            <w:r>
              <w:rPr>
                <w:sz w:val="20"/>
              </w:rPr>
              <w:t>Hacienda, la CDEEE y las EDEs para su inmediata aplicación.</w:t>
            </w:r>
          </w:p>
        </w:tc>
        <w:tc>
          <w:tcPr>
            <w:tcW w:w="3763" w:type="dxa"/>
          </w:tcPr>
          <w:p>
            <w:pPr>
              <w:pStyle w:val="TableParagraph"/>
              <w:spacing w:before="1"/>
              <w:ind w:left="108"/>
              <w:rPr>
                <w:sz w:val="20"/>
              </w:rPr>
            </w:pPr>
            <w:r>
              <w:rPr>
                <w:sz w:val="20"/>
              </w:rPr>
              <w:t>públicos.</w:t>
            </w:r>
          </w:p>
        </w:tc>
        <w:tc>
          <w:tcPr>
            <w:tcW w:w="3273" w:type="dxa"/>
          </w:tcPr>
          <w:p>
            <w:pPr>
              <w:pStyle w:val="TableParagraph"/>
              <w:spacing w:before="1"/>
              <w:ind w:left="108"/>
              <w:rPr>
                <w:sz w:val="20"/>
              </w:rPr>
            </w:pPr>
            <w:r>
              <w:rPr>
                <w:sz w:val="20"/>
              </w:rPr>
              <w:t>estándares de la región.</w:t>
            </w:r>
          </w:p>
        </w:tc>
      </w:tr>
      <w:tr>
        <w:trPr>
          <w:trHeight w:val="2166" w:hRule="atLeast"/>
        </w:trPr>
        <w:tc>
          <w:tcPr>
            <w:tcW w:w="2234" w:type="dxa"/>
          </w:tcPr>
          <w:p>
            <w:pPr>
              <w:pStyle w:val="TableParagraph"/>
              <w:spacing w:line="236" w:lineRule="exact"/>
              <w:ind w:left="107"/>
              <w:rPr>
                <w:sz w:val="20"/>
              </w:rPr>
            </w:pPr>
            <w:r>
              <w:rPr>
                <w:sz w:val="20"/>
              </w:rPr>
              <w:t>FIDEICOMISO</w:t>
            </w:r>
          </w:p>
        </w:tc>
        <w:tc>
          <w:tcPr>
            <w:tcW w:w="3828" w:type="dxa"/>
          </w:tcPr>
          <w:p>
            <w:pPr>
              <w:pStyle w:val="TableParagraph"/>
              <w:numPr>
                <w:ilvl w:val="0"/>
                <w:numId w:val="35"/>
              </w:numPr>
              <w:tabs>
                <w:tab w:pos="450" w:val="left" w:leader="none"/>
              </w:tabs>
              <w:spacing w:line="240" w:lineRule="auto" w:before="0" w:after="0"/>
              <w:ind w:left="108" w:right="119" w:firstLine="0"/>
              <w:jc w:val="left"/>
              <w:rPr>
                <w:sz w:val="20"/>
              </w:rPr>
            </w:pPr>
            <w:r>
              <w:rPr>
                <w:sz w:val="20"/>
              </w:rPr>
              <w:t>Diseñar el funcionamiento del fideicomiso como una cuenta intangible manejada por Hacienda a través de una institución bancaria, para su inclusión en la Ley de Presupuesto</w:t>
            </w:r>
            <w:r>
              <w:rPr>
                <w:spacing w:val="-3"/>
                <w:sz w:val="20"/>
              </w:rPr>
              <w:t> </w:t>
            </w:r>
            <w:r>
              <w:rPr>
                <w:sz w:val="20"/>
              </w:rPr>
              <w:t>2011.</w:t>
            </w:r>
          </w:p>
          <w:p>
            <w:pPr>
              <w:pStyle w:val="TableParagraph"/>
              <w:numPr>
                <w:ilvl w:val="0"/>
                <w:numId w:val="35"/>
              </w:numPr>
              <w:tabs>
                <w:tab w:pos="447" w:val="left" w:leader="none"/>
              </w:tabs>
              <w:spacing w:line="240" w:lineRule="auto" w:before="0" w:after="0"/>
              <w:ind w:left="108" w:right="188" w:firstLine="0"/>
              <w:jc w:val="both"/>
              <w:rPr>
                <w:sz w:val="20"/>
              </w:rPr>
            </w:pPr>
            <w:r>
              <w:rPr>
                <w:sz w:val="20"/>
              </w:rPr>
              <w:t>Iniciar la aplicación de los pagos de las facturas de los generadores a través del fideicomiso con reglas</w:t>
            </w:r>
            <w:r>
              <w:rPr>
                <w:spacing w:val="-5"/>
                <w:sz w:val="20"/>
              </w:rPr>
              <w:t> </w:t>
            </w:r>
            <w:r>
              <w:rPr>
                <w:sz w:val="20"/>
              </w:rPr>
              <w:t>pre-</w:t>
            </w:r>
          </w:p>
          <w:p>
            <w:pPr>
              <w:pStyle w:val="TableParagraph"/>
              <w:spacing w:line="221" w:lineRule="exact"/>
              <w:ind w:left="108"/>
              <w:rPr>
                <w:sz w:val="20"/>
              </w:rPr>
            </w:pPr>
            <w:r>
              <w:rPr>
                <w:sz w:val="20"/>
              </w:rPr>
              <w:t>establecidas.</w:t>
            </w:r>
          </w:p>
        </w:tc>
        <w:tc>
          <w:tcPr>
            <w:tcW w:w="3763" w:type="dxa"/>
          </w:tcPr>
          <w:p>
            <w:pPr>
              <w:pStyle w:val="TableParagraph"/>
              <w:numPr>
                <w:ilvl w:val="0"/>
                <w:numId w:val="36"/>
              </w:numPr>
              <w:tabs>
                <w:tab w:pos="447" w:val="left" w:leader="none"/>
              </w:tabs>
              <w:spacing w:line="240" w:lineRule="auto" w:before="0" w:after="0"/>
              <w:ind w:left="108" w:right="578" w:firstLine="0"/>
              <w:jc w:val="left"/>
              <w:rPr>
                <w:sz w:val="20"/>
              </w:rPr>
            </w:pPr>
            <w:r>
              <w:rPr>
                <w:sz w:val="20"/>
              </w:rPr>
              <w:t>Evaluar el funcionamiento del fideicomiso y realizar su respectiva auditoría externa.</w:t>
            </w:r>
          </w:p>
          <w:p>
            <w:pPr>
              <w:pStyle w:val="TableParagraph"/>
              <w:numPr>
                <w:ilvl w:val="0"/>
                <w:numId w:val="36"/>
              </w:numPr>
              <w:tabs>
                <w:tab w:pos="447" w:val="left" w:leader="none"/>
              </w:tabs>
              <w:spacing w:line="240" w:lineRule="auto" w:before="0" w:after="0"/>
              <w:ind w:left="108" w:right="119" w:firstLine="0"/>
              <w:jc w:val="left"/>
              <w:rPr>
                <w:sz w:val="20"/>
              </w:rPr>
            </w:pPr>
            <w:r>
              <w:rPr>
                <w:sz w:val="20"/>
              </w:rPr>
              <w:t>Condicional a la contratación de la cobertura (hedging), proceder a incorporar los pagos correspondientes</w:t>
            </w:r>
            <w:r>
              <w:rPr>
                <w:spacing w:val="-13"/>
                <w:sz w:val="20"/>
              </w:rPr>
              <w:t> </w:t>
            </w:r>
            <w:r>
              <w:rPr>
                <w:sz w:val="20"/>
              </w:rPr>
              <w:t>a los generadores por este concepto a través del</w:t>
            </w:r>
            <w:r>
              <w:rPr>
                <w:spacing w:val="-2"/>
                <w:sz w:val="20"/>
              </w:rPr>
              <w:t> </w:t>
            </w:r>
            <w:r>
              <w:rPr>
                <w:sz w:val="20"/>
              </w:rPr>
              <w:t>fideicomiso.</w:t>
            </w:r>
          </w:p>
        </w:tc>
        <w:tc>
          <w:tcPr>
            <w:tcW w:w="3273" w:type="dxa"/>
          </w:tcPr>
          <w:p>
            <w:pPr>
              <w:pStyle w:val="TableParagraph"/>
              <w:numPr>
                <w:ilvl w:val="0"/>
                <w:numId w:val="37"/>
              </w:numPr>
              <w:tabs>
                <w:tab w:pos="447" w:val="left" w:leader="none"/>
              </w:tabs>
              <w:spacing w:line="240" w:lineRule="auto" w:before="0" w:after="0"/>
              <w:ind w:left="108" w:right="580" w:firstLine="0"/>
              <w:jc w:val="both"/>
              <w:rPr>
                <w:sz w:val="20"/>
              </w:rPr>
            </w:pPr>
            <w:r>
              <w:rPr>
                <w:sz w:val="20"/>
              </w:rPr>
              <w:t>Restablecer la cadena de pagos en el sector eléctrico y evitar apagones</w:t>
            </w:r>
            <w:r>
              <w:rPr>
                <w:spacing w:val="-5"/>
                <w:sz w:val="20"/>
              </w:rPr>
              <w:t> </w:t>
            </w:r>
            <w:r>
              <w:rPr>
                <w:sz w:val="20"/>
              </w:rPr>
              <w:t>financieros.</w:t>
            </w:r>
          </w:p>
          <w:p>
            <w:pPr>
              <w:pStyle w:val="TableParagraph"/>
              <w:numPr>
                <w:ilvl w:val="0"/>
                <w:numId w:val="37"/>
              </w:numPr>
              <w:tabs>
                <w:tab w:pos="450" w:val="left" w:leader="none"/>
              </w:tabs>
              <w:spacing w:line="240" w:lineRule="auto" w:before="0" w:after="0"/>
              <w:ind w:left="108" w:right="133" w:firstLine="0"/>
              <w:jc w:val="left"/>
              <w:rPr>
                <w:sz w:val="20"/>
              </w:rPr>
            </w:pPr>
            <w:r>
              <w:rPr>
                <w:sz w:val="20"/>
              </w:rPr>
              <w:t>Darle mayor predictibilidad a los pagos de las facturas de los generadores y mejorar el clima de inversión.</w:t>
            </w:r>
          </w:p>
        </w:tc>
      </w:tr>
      <w:tr>
        <w:trPr>
          <w:trHeight w:val="3381" w:hRule="atLeast"/>
        </w:trPr>
        <w:tc>
          <w:tcPr>
            <w:tcW w:w="2234" w:type="dxa"/>
          </w:tcPr>
          <w:p>
            <w:pPr>
              <w:pStyle w:val="TableParagraph"/>
              <w:spacing w:line="240" w:lineRule="exact"/>
              <w:ind w:left="107"/>
              <w:rPr>
                <w:sz w:val="20"/>
              </w:rPr>
            </w:pPr>
            <w:r>
              <w:rPr>
                <w:sz w:val="20"/>
              </w:rPr>
              <w:t>INSTITUCIONALIDAD</w:t>
            </w:r>
          </w:p>
        </w:tc>
        <w:tc>
          <w:tcPr>
            <w:tcW w:w="3828" w:type="dxa"/>
          </w:tcPr>
          <w:p>
            <w:pPr>
              <w:pStyle w:val="TableParagraph"/>
              <w:numPr>
                <w:ilvl w:val="0"/>
                <w:numId w:val="38"/>
              </w:numPr>
              <w:tabs>
                <w:tab w:pos="450" w:val="left" w:leader="none"/>
              </w:tabs>
              <w:spacing w:line="240" w:lineRule="auto" w:before="0" w:after="0"/>
              <w:ind w:left="108" w:right="203" w:firstLine="0"/>
              <w:jc w:val="left"/>
              <w:rPr>
                <w:sz w:val="20"/>
              </w:rPr>
            </w:pPr>
            <w:r>
              <w:rPr>
                <w:sz w:val="20"/>
              </w:rPr>
              <w:t>Definir mecanismos para realizar la reforma del gobierno corporativo de la CDEEE para incluir representantes de la Secretaría de Hacienda y de la Secretaría de Economía y Planificación en su Consejo de</w:t>
            </w:r>
            <w:r>
              <w:rPr>
                <w:spacing w:val="-6"/>
                <w:sz w:val="20"/>
              </w:rPr>
              <w:t> </w:t>
            </w:r>
            <w:r>
              <w:rPr>
                <w:sz w:val="20"/>
              </w:rPr>
              <w:t>Administración.</w:t>
            </w:r>
          </w:p>
          <w:p>
            <w:pPr>
              <w:pStyle w:val="TableParagraph"/>
              <w:numPr>
                <w:ilvl w:val="0"/>
                <w:numId w:val="38"/>
              </w:numPr>
              <w:tabs>
                <w:tab w:pos="447" w:val="left" w:leader="none"/>
              </w:tabs>
              <w:spacing w:line="240" w:lineRule="auto" w:before="0" w:after="0"/>
              <w:ind w:left="108" w:right="348" w:firstLine="0"/>
              <w:jc w:val="left"/>
              <w:rPr>
                <w:sz w:val="20"/>
              </w:rPr>
            </w:pPr>
            <w:r>
              <w:rPr>
                <w:sz w:val="20"/>
              </w:rPr>
              <w:t>Auditorías financieras y operativas de la CDEEE por empresas internacionales.</w:t>
            </w:r>
          </w:p>
          <w:p>
            <w:pPr>
              <w:pStyle w:val="TableParagraph"/>
              <w:numPr>
                <w:ilvl w:val="0"/>
                <w:numId w:val="38"/>
              </w:numPr>
              <w:tabs>
                <w:tab w:pos="450" w:val="left" w:leader="none"/>
              </w:tabs>
              <w:spacing w:line="240" w:lineRule="auto" w:before="0" w:after="0"/>
              <w:ind w:left="108" w:right="161" w:firstLine="0"/>
              <w:jc w:val="both"/>
              <w:rPr>
                <w:sz w:val="20"/>
              </w:rPr>
            </w:pPr>
            <w:r>
              <w:rPr>
                <w:sz w:val="20"/>
              </w:rPr>
              <w:t>Diseñar medidas inmediatas para el fortalecimiento institucional del CNE y</w:t>
            </w:r>
            <w:r>
              <w:rPr>
                <w:spacing w:val="-15"/>
                <w:sz w:val="20"/>
              </w:rPr>
              <w:t> </w:t>
            </w:r>
            <w:r>
              <w:rPr>
                <w:sz w:val="20"/>
              </w:rPr>
              <w:t>la SIE.</w:t>
            </w:r>
          </w:p>
        </w:tc>
        <w:tc>
          <w:tcPr>
            <w:tcW w:w="3763" w:type="dxa"/>
          </w:tcPr>
          <w:p>
            <w:pPr>
              <w:pStyle w:val="TableParagraph"/>
              <w:numPr>
                <w:ilvl w:val="0"/>
                <w:numId w:val="39"/>
              </w:numPr>
              <w:tabs>
                <w:tab w:pos="447" w:val="left" w:leader="none"/>
              </w:tabs>
              <w:spacing w:line="240" w:lineRule="auto" w:before="0" w:after="0"/>
              <w:ind w:left="108" w:right="384" w:firstLine="0"/>
              <w:jc w:val="left"/>
              <w:rPr>
                <w:sz w:val="20"/>
              </w:rPr>
            </w:pPr>
            <w:r>
              <w:rPr>
                <w:sz w:val="20"/>
              </w:rPr>
              <w:t>Proceder al nombramiento de los nuevos miembros del Consejo de Administración de la CDEEE, con conocimiento extensivo del sector eléctrico.</w:t>
            </w:r>
          </w:p>
          <w:p>
            <w:pPr>
              <w:pStyle w:val="TableParagraph"/>
              <w:numPr>
                <w:ilvl w:val="0"/>
                <w:numId w:val="39"/>
              </w:numPr>
              <w:tabs>
                <w:tab w:pos="447" w:val="left" w:leader="none"/>
              </w:tabs>
              <w:spacing w:line="240" w:lineRule="auto" w:before="0" w:after="0"/>
              <w:ind w:left="108" w:right="142" w:firstLine="0"/>
              <w:jc w:val="left"/>
              <w:rPr>
                <w:sz w:val="20"/>
              </w:rPr>
            </w:pPr>
            <w:r>
              <w:rPr>
                <w:sz w:val="20"/>
              </w:rPr>
              <w:t>Realizar un estudio para determinar cuál debería ser la estructura optimizada de la CDEEE como holding (funciones, estructura y plantilla), y aplicación de las recomendaciones de las auditorías financieras y</w:t>
            </w:r>
            <w:r>
              <w:rPr>
                <w:spacing w:val="-9"/>
                <w:sz w:val="20"/>
              </w:rPr>
              <w:t> </w:t>
            </w:r>
            <w:r>
              <w:rPr>
                <w:sz w:val="20"/>
              </w:rPr>
              <w:t>operativas.</w:t>
            </w:r>
          </w:p>
          <w:p>
            <w:pPr>
              <w:pStyle w:val="TableParagraph"/>
              <w:numPr>
                <w:ilvl w:val="0"/>
                <w:numId w:val="39"/>
              </w:numPr>
              <w:tabs>
                <w:tab w:pos="447" w:val="left" w:leader="none"/>
              </w:tabs>
              <w:spacing w:line="240" w:lineRule="auto" w:before="0" w:after="0"/>
              <w:ind w:left="108" w:right="212" w:firstLine="0"/>
              <w:jc w:val="left"/>
              <w:rPr>
                <w:sz w:val="20"/>
              </w:rPr>
            </w:pPr>
            <w:r>
              <w:rPr>
                <w:sz w:val="20"/>
              </w:rPr>
              <w:t>Aplicar medidas de fortalecimiento de la CNE (en particular</w:t>
            </w:r>
            <w:r>
              <w:rPr>
                <w:spacing w:val="-11"/>
                <w:sz w:val="20"/>
              </w:rPr>
              <w:t> </w:t>
            </w:r>
            <w:r>
              <w:rPr>
                <w:sz w:val="20"/>
              </w:rPr>
              <w:t>planeamiento)</w:t>
            </w:r>
          </w:p>
          <w:p>
            <w:pPr>
              <w:pStyle w:val="TableParagraph"/>
              <w:spacing w:line="223" w:lineRule="exact"/>
              <w:ind w:left="108"/>
              <w:rPr>
                <w:sz w:val="20"/>
              </w:rPr>
            </w:pPr>
            <w:r>
              <w:rPr>
                <w:sz w:val="20"/>
              </w:rPr>
              <w:t>y la SIE</w:t>
            </w:r>
          </w:p>
        </w:tc>
        <w:tc>
          <w:tcPr>
            <w:tcW w:w="3273" w:type="dxa"/>
          </w:tcPr>
          <w:p>
            <w:pPr>
              <w:pStyle w:val="TableParagraph"/>
              <w:numPr>
                <w:ilvl w:val="0"/>
                <w:numId w:val="40"/>
              </w:numPr>
              <w:tabs>
                <w:tab w:pos="450" w:val="left" w:leader="none"/>
              </w:tabs>
              <w:spacing w:line="240" w:lineRule="auto" w:before="0" w:after="0"/>
              <w:ind w:left="108" w:right="251" w:firstLine="0"/>
              <w:jc w:val="left"/>
              <w:rPr>
                <w:sz w:val="20"/>
              </w:rPr>
            </w:pPr>
            <w:r>
              <w:rPr>
                <w:sz w:val="20"/>
              </w:rPr>
              <w:t>Lograr una mayor control de la gestión y de los gastos de la CDEEE por parte de los dueños. Mayor transparencia y control de las actividades de la</w:t>
            </w:r>
            <w:r>
              <w:rPr>
                <w:spacing w:val="-4"/>
                <w:sz w:val="20"/>
              </w:rPr>
              <w:t> </w:t>
            </w:r>
            <w:r>
              <w:rPr>
                <w:sz w:val="20"/>
              </w:rPr>
              <w:t>CDEEE.</w:t>
            </w:r>
          </w:p>
          <w:p>
            <w:pPr>
              <w:pStyle w:val="TableParagraph"/>
              <w:numPr>
                <w:ilvl w:val="0"/>
                <w:numId w:val="40"/>
              </w:numPr>
              <w:tabs>
                <w:tab w:pos="447" w:val="left" w:leader="none"/>
              </w:tabs>
              <w:spacing w:line="240" w:lineRule="auto" w:before="0" w:after="0"/>
              <w:ind w:left="108" w:right="178" w:firstLine="0"/>
              <w:jc w:val="left"/>
              <w:rPr>
                <w:sz w:val="20"/>
              </w:rPr>
            </w:pPr>
            <w:r>
              <w:rPr>
                <w:sz w:val="20"/>
              </w:rPr>
              <w:t>Adecuar el tamaño de la CDEEE para hacerla consistente con sus funciones según la Ley vigente y definición de una situación base de la CDEEE en términos operativos y</w:t>
            </w:r>
            <w:r>
              <w:rPr>
                <w:spacing w:val="-14"/>
                <w:sz w:val="20"/>
              </w:rPr>
              <w:t> </w:t>
            </w:r>
            <w:r>
              <w:rPr>
                <w:sz w:val="20"/>
              </w:rPr>
              <w:t>financieros.</w:t>
            </w:r>
          </w:p>
          <w:p>
            <w:pPr>
              <w:pStyle w:val="TableParagraph"/>
              <w:numPr>
                <w:ilvl w:val="0"/>
                <w:numId w:val="40"/>
              </w:numPr>
              <w:tabs>
                <w:tab w:pos="447" w:val="left" w:leader="none"/>
              </w:tabs>
              <w:spacing w:line="240" w:lineRule="auto" w:before="0" w:after="0"/>
              <w:ind w:left="108" w:right="315" w:firstLine="0"/>
              <w:jc w:val="left"/>
              <w:rPr>
                <w:sz w:val="20"/>
              </w:rPr>
            </w:pPr>
            <w:r>
              <w:rPr>
                <w:sz w:val="20"/>
              </w:rPr>
              <w:t>Mayor eficiencia de la CNE y SIE en el desempeño de</w:t>
            </w:r>
            <w:r>
              <w:rPr>
                <w:spacing w:val="-4"/>
                <w:sz w:val="20"/>
              </w:rPr>
              <w:t> </w:t>
            </w:r>
            <w:r>
              <w:rPr>
                <w:sz w:val="20"/>
              </w:rPr>
              <w:t>sus</w:t>
            </w:r>
          </w:p>
          <w:p>
            <w:pPr>
              <w:pStyle w:val="TableParagraph"/>
              <w:spacing w:line="223" w:lineRule="exact"/>
              <w:ind w:left="108"/>
              <w:rPr>
                <w:sz w:val="20"/>
              </w:rPr>
            </w:pPr>
            <w:r>
              <w:rPr>
                <w:sz w:val="20"/>
              </w:rPr>
              <w:t>funciones.</w:t>
            </w:r>
          </w:p>
        </w:tc>
      </w:tr>
      <w:tr>
        <w:trPr>
          <w:trHeight w:val="1689" w:hRule="atLeast"/>
        </w:trPr>
        <w:tc>
          <w:tcPr>
            <w:tcW w:w="2234" w:type="dxa"/>
          </w:tcPr>
          <w:p>
            <w:pPr>
              <w:pStyle w:val="TableParagraph"/>
              <w:spacing w:line="240" w:lineRule="exact"/>
              <w:ind w:left="107"/>
              <w:rPr>
                <w:sz w:val="20"/>
              </w:rPr>
            </w:pPr>
            <w:r>
              <w:rPr>
                <w:sz w:val="20"/>
              </w:rPr>
              <w:t>INVERSIONES</w:t>
            </w:r>
          </w:p>
        </w:tc>
        <w:tc>
          <w:tcPr>
            <w:tcW w:w="3828" w:type="dxa"/>
          </w:tcPr>
          <w:p>
            <w:pPr>
              <w:pStyle w:val="TableParagraph"/>
              <w:ind w:left="108" w:right="96"/>
              <w:jc w:val="both"/>
              <w:rPr>
                <w:sz w:val="20"/>
              </w:rPr>
            </w:pPr>
            <w:r>
              <w:rPr>
                <w:sz w:val="20"/>
              </w:rPr>
              <w:t>15. Realizar un estudio de Demanda de Energía Eléctrica. Realizar los planes indicativos de Generación y Distribución Eléctrica (expansión de la oferta).</w:t>
            </w:r>
          </w:p>
        </w:tc>
        <w:tc>
          <w:tcPr>
            <w:tcW w:w="3763" w:type="dxa"/>
          </w:tcPr>
          <w:p>
            <w:pPr>
              <w:pStyle w:val="TableParagraph"/>
              <w:numPr>
                <w:ilvl w:val="0"/>
                <w:numId w:val="41"/>
              </w:numPr>
              <w:tabs>
                <w:tab w:pos="447" w:val="left" w:leader="none"/>
              </w:tabs>
              <w:spacing w:line="240" w:lineRule="auto" w:before="0" w:after="0"/>
              <w:ind w:left="108" w:right="292" w:firstLine="0"/>
              <w:jc w:val="left"/>
              <w:rPr>
                <w:sz w:val="20"/>
              </w:rPr>
            </w:pPr>
            <w:r>
              <w:rPr>
                <w:sz w:val="20"/>
              </w:rPr>
              <w:t>Proceder a los trabajos de rehabilitación, conversión y expansión de plantas existentes de acuerdo al estudio de</w:t>
            </w:r>
            <w:r>
              <w:rPr>
                <w:spacing w:val="-2"/>
                <w:sz w:val="20"/>
              </w:rPr>
              <w:t> </w:t>
            </w:r>
            <w:r>
              <w:rPr>
                <w:sz w:val="20"/>
              </w:rPr>
              <w:t>expansión.</w:t>
            </w:r>
          </w:p>
          <w:p>
            <w:pPr>
              <w:pStyle w:val="TableParagraph"/>
              <w:numPr>
                <w:ilvl w:val="0"/>
                <w:numId w:val="41"/>
              </w:numPr>
              <w:tabs>
                <w:tab w:pos="450" w:val="left" w:leader="none"/>
              </w:tabs>
              <w:spacing w:line="241" w:lineRule="exact" w:before="0" w:after="0"/>
              <w:ind w:left="449" w:right="0" w:hanging="342"/>
              <w:jc w:val="left"/>
              <w:rPr>
                <w:sz w:val="20"/>
              </w:rPr>
            </w:pPr>
            <w:r>
              <w:rPr>
                <w:sz w:val="20"/>
              </w:rPr>
              <w:t>Diseñar los esquemas</w:t>
            </w:r>
            <w:r>
              <w:rPr>
                <w:spacing w:val="62"/>
                <w:sz w:val="20"/>
              </w:rPr>
              <w:t> </w:t>
            </w:r>
            <w:r>
              <w:rPr>
                <w:sz w:val="20"/>
              </w:rPr>
              <w:t>de</w:t>
            </w:r>
          </w:p>
          <w:p>
            <w:pPr>
              <w:pStyle w:val="TableParagraph"/>
              <w:spacing w:line="240" w:lineRule="exact" w:before="8"/>
              <w:ind w:left="108" w:right="619"/>
              <w:rPr>
                <w:sz w:val="20"/>
              </w:rPr>
            </w:pPr>
            <w:r>
              <w:rPr>
                <w:sz w:val="20"/>
              </w:rPr>
              <w:t>licitaciones internacionales para la nueva generación.</w:t>
            </w:r>
          </w:p>
        </w:tc>
        <w:tc>
          <w:tcPr>
            <w:tcW w:w="3273" w:type="dxa"/>
          </w:tcPr>
          <w:p>
            <w:pPr>
              <w:pStyle w:val="TableParagraph"/>
              <w:numPr>
                <w:ilvl w:val="0"/>
                <w:numId w:val="42"/>
              </w:numPr>
              <w:tabs>
                <w:tab w:pos="447" w:val="left" w:leader="none"/>
              </w:tabs>
              <w:spacing w:line="240" w:lineRule="auto" w:before="0" w:after="0"/>
              <w:ind w:left="108" w:right="150" w:firstLine="0"/>
              <w:jc w:val="left"/>
              <w:rPr>
                <w:sz w:val="20"/>
              </w:rPr>
            </w:pPr>
            <w:r>
              <w:rPr>
                <w:sz w:val="20"/>
              </w:rPr>
              <w:t>Obtener un plan de expansión del sector eléctrico que guíe las iniciativas públicas y</w:t>
            </w:r>
            <w:r>
              <w:rPr>
                <w:spacing w:val="-4"/>
                <w:sz w:val="20"/>
              </w:rPr>
              <w:t> </w:t>
            </w:r>
            <w:r>
              <w:rPr>
                <w:sz w:val="20"/>
              </w:rPr>
              <w:t>privadas.</w:t>
            </w:r>
          </w:p>
          <w:p>
            <w:pPr>
              <w:pStyle w:val="TableParagraph"/>
              <w:numPr>
                <w:ilvl w:val="0"/>
                <w:numId w:val="42"/>
              </w:numPr>
              <w:tabs>
                <w:tab w:pos="447" w:val="left" w:leader="none"/>
              </w:tabs>
              <w:spacing w:line="240" w:lineRule="auto" w:before="0" w:after="0"/>
              <w:ind w:left="108" w:right="361" w:firstLine="0"/>
              <w:jc w:val="left"/>
              <w:rPr>
                <w:sz w:val="20"/>
              </w:rPr>
            </w:pPr>
            <w:r>
              <w:rPr>
                <w:sz w:val="20"/>
              </w:rPr>
              <w:t>Atraer nueva inversión en generación eficiente y oportuna sobre la base de</w:t>
            </w:r>
            <w:r>
              <w:rPr>
                <w:spacing w:val="-3"/>
                <w:sz w:val="20"/>
              </w:rPr>
              <w:t> </w:t>
            </w:r>
            <w:r>
              <w:rPr>
                <w:sz w:val="20"/>
              </w:rPr>
              <w:t>procesos</w:t>
            </w:r>
          </w:p>
          <w:p>
            <w:pPr>
              <w:pStyle w:val="TableParagraph"/>
              <w:spacing w:line="221" w:lineRule="exact"/>
              <w:ind w:left="108"/>
              <w:rPr>
                <w:sz w:val="20"/>
              </w:rPr>
            </w:pPr>
            <w:r>
              <w:rPr>
                <w:sz w:val="20"/>
              </w:rPr>
              <w:t>competitivos.</w:t>
            </w:r>
          </w:p>
        </w:tc>
      </w:tr>
    </w:tbl>
    <w:p>
      <w:pPr>
        <w:spacing w:after="0" w:line="221" w:lineRule="exact"/>
        <w:rPr>
          <w:sz w:val="20"/>
        </w:rPr>
        <w:sectPr>
          <w:pgSz w:w="15840" w:h="12240" w:orient="landscape"/>
          <w:pgMar w:header="718" w:footer="954" w:top="1360" w:bottom="1140" w:left="1220" w:right="1280"/>
        </w:sectPr>
      </w:pPr>
    </w:p>
    <w:p>
      <w:pPr>
        <w:pStyle w:val="BodyText"/>
        <w:rPr>
          <w:b/>
          <w:sz w:val="20"/>
        </w:rPr>
      </w:pPr>
    </w:p>
    <w:p>
      <w:pPr>
        <w:pStyle w:val="ListParagraph"/>
        <w:numPr>
          <w:ilvl w:val="2"/>
          <w:numId w:val="17"/>
        </w:numPr>
        <w:tabs>
          <w:tab w:pos="1319" w:val="left" w:leader="none"/>
          <w:tab w:pos="1320" w:val="left" w:leader="none"/>
        </w:tabs>
        <w:spacing w:line="240" w:lineRule="auto" w:before="275" w:after="0"/>
        <w:ind w:left="1319" w:right="0" w:hanging="1081"/>
        <w:jc w:val="left"/>
        <w:rPr>
          <w:rFonts w:ascii="Verdana" w:hAnsi="Verdana"/>
          <w:b/>
          <w:sz w:val="25"/>
        </w:rPr>
      </w:pPr>
      <w:r>
        <w:rPr>
          <w:rFonts w:ascii="Verdana" w:hAnsi="Verdana"/>
          <w:b/>
          <w:sz w:val="24"/>
        </w:rPr>
        <w:t>Líneas estratégicas de largo</w:t>
      </w:r>
      <w:r>
        <w:rPr>
          <w:rFonts w:ascii="Verdana" w:hAnsi="Verdana"/>
          <w:b/>
          <w:spacing w:val="-6"/>
          <w:sz w:val="24"/>
        </w:rPr>
        <w:t> </w:t>
      </w:r>
      <w:r>
        <w:rPr>
          <w:rFonts w:ascii="Verdana" w:hAnsi="Verdana"/>
          <w:b/>
          <w:sz w:val="24"/>
        </w:rPr>
        <w:t>plazo</w:t>
      </w:r>
      <w:r>
        <w:rPr>
          <w:rFonts w:ascii="Verdana" w:hAnsi="Verdana"/>
          <w:b/>
          <w:sz w:val="24"/>
          <w:vertAlign w:val="superscript"/>
        </w:rPr>
        <w:t>18</w:t>
      </w:r>
    </w:p>
    <w:p>
      <w:pPr>
        <w:pStyle w:val="BodyText"/>
        <w:spacing w:before="277"/>
        <w:ind w:left="240" w:right="1054"/>
        <w:jc w:val="both"/>
      </w:pPr>
      <w:r>
        <w:rPr/>
        <w:t>La política de energía en el subsector eléctrico tiene como objetivo general a largo plazo el desarrollo de una oferta de electricidad suficiente, confiable y sostenible para atender la demanda esperada a mínimo costo.</w:t>
      </w:r>
    </w:p>
    <w:p>
      <w:pPr>
        <w:pStyle w:val="BodyText"/>
      </w:pPr>
    </w:p>
    <w:p>
      <w:pPr>
        <w:pStyle w:val="BodyText"/>
        <w:ind w:left="240" w:right="1054"/>
        <w:jc w:val="both"/>
      </w:pPr>
      <w:r>
        <w:rPr/>
        <w:t>El círculo vicioso de crisis financiera debe ser resuelto con las medidas planteadas para el corto y mediano plazo. Los temas de largo plazo están asociados con la construcción de una infraestructura segura y confiable y la reducción del costo de la</w:t>
      </w:r>
      <w:r>
        <w:rPr>
          <w:spacing w:val="-15"/>
        </w:rPr>
        <w:t> </w:t>
      </w:r>
      <w:r>
        <w:rPr/>
        <w:t>electricidad.</w:t>
      </w:r>
    </w:p>
    <w:p>
      <w:pPr>
        <w:pStyle w:val="BodyText"/>
        <w:spacing w:before="1"/>
      </w:pPr>
    </w:p>
    <w:p>
      <w:pPr>
        <w:pStyle w:val="BodyText"/>
        <w:ind w:left="240" w:right="1055"/>
        <w:jc w:val="both"/>
      </w:pPr>
      <w:r>
        <w:rPr/>
        <w:t>De acuerdo con lo anterior, los problemas más apremiantes del sector se resumen en los siguientes puntos, los cuales constituyen los elementos del diagnóstico para definir los lineamientos estratégicos de largo plazo:</w:t>
      </w:r>
    </w:p>
    <w:p>
      <w:pPr>
        <w:pStyle w:val="BodyText"/>
        <w:spacing w:before="11"/>
        <w:rPr>
          <w:sz w:val="29"/>
        </w:rPr>
      </w:pPr>
    </w:p>
    <w:p>
      <w:pPr>
        <w:pStyle w:val="ListParagraph"/>
        <w:numPr>
          <w:ilvl w:val="3"/>
          <w:numId w:val="17"/>
        </w:numPr>
        <w:tabs>
          <w:tab w:pos="959" w:val="left" w:leader="none"/>
          <w:tab w:pos="961" w:val="left" w:leader="none"/>
        </w:tabs>
        <w:spacing w:line="240" w:lineRule="auto" w:before="0" w:after="0"/>
        <w:ind w:left="960" w:right="0" w:hanging="361"/>
        <w:jc w:val="left"/>
        <w:rPr>
          <w:sz w:val="23"/>
        </w:rPr>
      </w:pPr>
      <w:r>
        <w:rPr>
          <w:sz w:val="23"/>
        </w:rPr>
        <w:t>Sostenibilidad</w:t>
      </w:r>
      <w:r>
        <w:rPr>
          <w:spacing w:val="-3"/>
          <w:sz w:val="23"/>
        </w:rPr>
        <w:t> </w:t>
      </w:r>
      <w:r>
        <w:rPr>
          <w:sz w:val="23"/>
        </w:rPr>
        <w:t>financiera</w:t>
      </w:r>
    </w:p>
    <w:p>
      <w:pPr>
        <w:pStyle w:val="BodyText"/>
      </w:pPr>
    </w:p>
    <w:p>
      <w:pPr>
        <w:pStyle w:val="ListParagraph"/>
        <w:numPr>
          <w:ilvl w:val="3"/>
          <w:numId w:val="17"/>
        </w:numPr>
        <w:tabs>
          <w:tab w:pos="960" w:val="left" w:leader="none"/>
        </w:tabs>
        <w:spacing w:line="237" w:lineRule="auto" w:before="0" w:after="0"/>
        <w:ind w:left="960" w:right="1055" w:hanging="360"/>
        <w:jc w:val="both"/>
        <w:rPr>
          <w:sz w:val="23"/>
        </w:rPr>
      </w:pPr>
      <w:r>
        <w:rPr>
          <w:sz w:val="23"/>
        </w:rPr>
        <w:t>Alta dependencia de derivados de petróleo para generación eléctrica y vulnerabilidad de los costos de generación a la volatilidad y altos precios del petróleo en el mercado</w:t>
      </w:r>
      <w:r>
        <w:rPr>
          <w:spacing w:val="-1"/>
          <w:sz w:val="23"/>
        </w:rPr>
        <w:t> </w:t>
      </w:r>
      <w:r>
        <w:rPr>
          <w:sz w:val="23"/>
        </w:rPr>
        <w:t>internacional.</w:t>
      </w:r>
    </w:p>
    <w:p>
      <w:pPr>
        <w:pStyle w:val="BodyText"/>
        <w:spacing w:before="5"/>
      </w:pPr>
    </w:p>
    <w:p>
      <w:pPr>
        <w:pStyle w:val="ListParagraph"/>
        <w:numPr>
          <w:ilvl w:val="3"/>
          <w:numId w:val="17"/>
        </w:numPr>
        <w:tabs>
          <w:tab w:pos="959" w:val="left" w:leader="none"/>
          <w:tab w:pos="961" w:val="left" w:leader="none"/>
        </w:tabs>
        <w:spacing w:line="237" w:lineRule="auto" w:before="0" w:after="0"/>
        <w:ind w:left="960" w:right="985" w:hanging="360"/>
        <w:jc w:val="left"/>
        <w:rPr>
          <w:sz w:val="23"/>
        </w:rPr>
      </w:pPr>
      <w:r>
        <w:rPr>
          <w:sz w:val="23"/>
        </w:rPr>
        <w:t>Pérdida de la confianza de los inversionistas privados en el cumplimiento del compromiso de aplicar en forma objetiva el régimen regulatorio establecido en la ley, incluyendo tarifas que cubran los costos de suministro, y en la puesta en funcionamiento del mercado</w:t>
      </w:r>
      <w:r>
        <w:rPr>
          <w:spacing w:val="-3"/>
          <w:sz w:val="23"/>
        </w:rPr>
        <w:t> </w:t>
      </w:r>
      <w:r>
        <w:rPr>
          <w:sz w:val="23"/>
        </w:rPr>
        <w:t>mayorista.</w:t>
      </w:r>
    </w:p>
    <w:p>
      <w:pPr>
        <w:pStyle w:val="BodyText"/>
        <w:spacing w:before="8"/>
      </w:pPr>
    </w:p>
    <w:p>
      <w:pPr>
        <w:pStyle w:val="ListParagraph"/>
        <w:numPr>
          <w:ilvl w:val="3"/>
          <w:numId w:val="17"/>
        </w:numPr>
        <w:tabs>
          <w:tab w:pos="961" w:val="left" w:leader="none"/>
        </w:tabs>
        <w:spacing w:line="237" w:lineRule="auto" w:before="0" w:after="0"/>
        <w:ind w:left="960" w:right="1054" w:hanging="360"/>
        <w:jc w:val="both"/>
        <w:rPr>
          <w:sz w:val="23"/>
        </w:rPr>
      </w:pPr>
      <w:r>
        <w:rPr>
          <w:sz w:val="23"/>
        </w:rPr>
        <w:t>Pérdida de confianza de los consumidores en la capacidad del sector de proveer un suministro de energía suficiente, confiable, sostenible y a un costo razonable, lo cual promueve soluciones autónomas más costosas.</w:t>
      </w:r>
    </w:p>
    <w:p>
      <w:pPr>
        <w:pStyle w:val="BodyText"/>
        <w:spacing w:before="5"/>
      </w:pPr>
    </w:p>
    <w:p>
      <w:pPr>
        <w:pStyle w:val="ListParagraph"/>
        <w:numPr>
          <w:ilvl w:val="3"/>
          <w:numId w:val="17"/>
        </w:numPr>
        <w:tabs>
          <w:tab w:pos="961" w:val="left" w:leader="none"/>
        </w:tabs>
        <w:spacing w:line="237" w:lineRule="auto" w:before="0" w:after="0"/>
        <w:ind w:left="960" w:right="1055" w:hanging="360"/>
        <w:jc w:val="both"/>
        <w:rPr>
          <w:sz w:val="23"/>
        </w:rPr>
      </w:pPr>
      <w:r>
        <w:rPr>
          <w:sz w:val="23"/>
        </w:rPr>
        <w:t>Fracaso de los inversionistas privados en la gestión de distribución y proceso de renacionalización de la industria sin definir un esquema claro de funcionamiento del mercado de energía.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pict>
          <v:rect style="position:absolute;margin-left:72pt;margin-top:17.912966pt;width:143.999997pt;height:.72pt;mso-position-horizontal-relative:page;mso-position-vertical-relative:paragraph;z-index:-15676928;mso-wrap-distance-left:0;mso-wrap-distance-right:0" filled="true" fillcolor="#000000" stroked="false">
            <v:fill type="solid"/>
            <w10:wrap type="topAndBottom"/>
          </v:rect>
        </w:pict>
      </w:r>
    </w:p>
    <w:p>
      <w:pPr>
        <w:pStyle w:val="ListParagraph"/>
        <w:numPr>
          <w:ilvl w:val="0"/>
          <w:numId w:val="43"/>
        </w:numPr>
        <w:tabs>
          <w:tab w:pos="492" w:val="left" w:leader="none"/>
        </w:tabs>
        <w:spacing w:line="240" w:lineRule="auto" w:before="58" w:after="0"/>
        <w:ind w:left="491" w:right="0" w:hanging="253"/>
        <w:jc w:val="left"/>
        <w:rPr>
          <w:rFonts w:ascii="Verdana" w:hAnsi="Verdana"/>
          <w:sz w:val="20"/>
        </w:rPr>
      </w:pPr>
      <w:r>
        <w:rPr>
          <w:rFonts w:ascii="Verdana" w:hAnsi="Verdana"/>
          <w:sz w:val="20"/>
        </w:rPr>
        <w:t>La</w:t>
      </w:r>
      <w:r>
        <w:rPr>
          <w:rFonts w:ascii="Verdana" w:hAnsi="Verdana"/>
          <w:spacing w:val="17"/>
          <w:sz w:val="20"/>
        </w:rPr>
        <w:t> </w:t>
      </w:r>
      <w:r>
        <w:rPr>
          <w:rFonts w:ascii="Verdana" w:hAnsi="Verdana"/>
          <w:sz w:val="20"/>
        </w:rPr>
        <w:t>información,</w:t>
      </w:r>
      <w:r>
        <w:rPr>
          <w:rFonts w:ascii="Verdana" w:hAnsi="Verdana"/>
          <w:spacing w:val="16"/>
          <w:sz w:val="20"/>
        </w:rPr>
        <w:t> </w:t>
      </w:r>
      <w:r>
        <w:rPr>
          <w:rFonts w:ascii="Verdana" w:hAnsi="Verdana"/>
          <w:sz w:val="20"/>
        </w:rPr>
        <w:t>análisis</w:t>
      </w:r>
      <w:r>
        <w:rPr>
          <w:rFonts w:ascii="Verdana" w:hAnsi="Verdana"/>
          <w:spacing w:val="16"/>
          <w:sz w:val="20"/>
        </w:rPr>
        <w:t> </w:t>
      </w:r>
      <w:r>
        <w:rPr>
          <w:rFonts w:ascii="Verdana" w:hAnsi="Verdana"/>
          <w:sz w:val="20"/>
        </w:rPr>
        <w:t>y</w:t>
      </w:r>
      <w:r>
        <w:rPr>
          <w:rFonts w:ascii="Verdana" w:hAnsi="Verdana"/>
          <w:spacing w:val="16"/>
          <w:sz w:val="20"/>
        </w:rPr>
        <w:t> </w:t>
      </w:r>
      <w:r>
        <w:rPr>
          <w:rFonts w:ascii="Verdana" w:hAnsi="Verdana"/>
          <w:sz w:val="20"/>
        </w:rPr>
        <w:t>lineamientos</w:t>
      </w:r>
      <w:r>
        <w:rPr>
          <w:rFonts w:ascii="Verdana" w:hAnsi="Verdana"/>
          <w:spacing w:val="16"/>
          <w:sz w:val="20"/>
        </w:rPr>
        <w:t> </w:t>
      </w:r>
      <w:r>
        <w:rPr>
          <w:rFonts w:ascii="Verdana" w:hAnsi="Verdana"/>
          <w:sz w:val="20"/>
        </w:rPr>
        <w:t>estratégicos</w:t>
      </w:r>
      <w:r>
        <w:rPr>
          <w:rFonts w:ascii="Verdana" w:hAnsi="Verdana"/>
          <w:spacing w:val="18"/>
          <w:sz w:val="20"/>
        </w:rPr>
        <w:t> </w:t>
      </w:r>
      <w:r>
        <w:rPr>
          <w:rFonts w:ascii="Verdana" w:hAnsi="Verdana"/>
          <w:sz w:val="20"/>
        </w:rPr>
        <w:t>están</w:t>
      </w:r>
      <w:r>
        <w:rPr>
          <w:rFonts w:ascii="Verdana" w:hAnsi="Verdana"/>
          <w:spacing w:val="18"/>
          <w:sz w:val="20"/>
        </w:rPr>
        <w:t> </w:t>
      </w:r>
      <w:r>
        <w:rPr>
          <w:rFonts w:ascii="Verdana" w:hAnsi="Verdana"/>
          <w:sz w:val="20"/>
        </w:rPr>
        <w:t>sustentados</w:t>
      </w:r>
      <w:r>
        <w:rPr>
          <w:rFonts w:ascii="Verdana" w:hAnsi="Verdana"/>
          <w:spacing w:val="18"/>
          <w:sz w:val="20"/>
        </w:rPr>
        <w:t> </w:t>
      </w:r>
      <w:r>
        <w:rPr>
          <w:rFonts w:ascii="Verdana" w:hAnsi="Verdana"/>
          <w:sz w:val="20"/>
        </w:rPr>
        <w:t>en</w:t>
      </w:r>
      <w:r>
        <w:rPr>
          <w:rFonts w:ascii="Verdana" w:hAnsi="Verdana"/>
          <w:spacing w:val="18"/>
          <w:sz w:val="20"/>
        </w:rPr>
        <w:t> </w:t>
      </w:r>
      <w:r>
        <w:rPr>
          <w:rFonts w:ascii="Verdana" w:hAnsi="Verdana"/>
          <w:sz w:val="20"/>
        </w:rPr>
        <w:t>el</w:t>
      </w:r>
      <w:r>
        <w:rPr>
          <w:rFonts w:ascii="Verdana" w:hAnsi="Verdana"/>
          <w:spacing w:val="19"/>
          <w:sz w:val="20"/>
        </w:rPr>
        <w:t> </w:t>
      </w:r>
      <w:r>
        <w:rPr>
          <w:rFonts w:ascii="Verdana" w:hAnsi="Verdana"/>
          <w:sz w:val="20"/>
        </w:rPr>
        <w:t>documento:</w:t>
      </w:r>
    </w:p>
    <w:p>
      <w:pPr>
        <w:tabs>
          <w:tab w:pos="2078" w:val="left" w:leader="none"/>
          <w:tab w:pos="2431" w:val="left" w:leader="none"/>
          <w:tab w:pos="4051" w:val="left" w:leader="none"/>
          <w:tab w:pos="4560" w:val="left" w:leader="none"/>
          <w:tab w:pos="5606" w:val="left" w:leader="none"/>
          <w:tab w:pos="7524" w:val="left" w:leader="none"/>
          <w:tab w:pos="8160" w:val="left" w:leader="none"/>
        </w:tabs>
        <w:spacing w:line="243" w:lineRule="exact" w:before="9"/>
        <w:ind w:left="239" w:right="0" w:firstLine="0"/>
        <w:jc w:val="left"/>
        <w:rPr>
          <w:rFonts w:ascii="Verdana" w:hAnsi="Verdana"/>
          <w:b/>
          <w:sz w:val="20"/>
        </w:rPr>
      </w:pPr>
      <w:r>
        <w:rPr>
          <w:rFonts w:ascii="Verdana" w:hAnsi="Verdana"/>
          <w:b/>
          <w:sz w:val="20"/>
        </w:rPr>
        <w:t>DIAGNÓSTICO</w:t>
        <w:tab/>
        <w:t>Y</w:t>
        <w:tab/>
        <w:t>DEFINICIÓN</w:t>
        <w:tab/>
        <w:t>DE</w:t>
        <w:tab/>
        <w:t>LÍNEAS</w:t>
        <w:tab/>
        <w:t>ESTRATÉGICAS</w:t>
        <w:tab/>
        <w:t>DEL</w:t>
        <w:tab/>
        <w:t>SUB-SECTOR</w:t>
      </w:r>
    </w:p>
    <w:p>
      <w:pPr>
        <w:spacing w:before="0"/>
        <w:ind w:left="239" w:right="1060" w:firstLine="0"/>
        <w:jc w:val="left"/>
        <w:rPr>
          <w:rFonts w:ascii="Verdana" w:hAnsi="Verdana"/>
          <w:sz w:val="20"/>
        </w:rPr>
      </w:pPr>
      <w:r>
        <w:rPr>
          <w:rFonts w:ascii="Verdana" w:hAnsi="Verdana"/>
          <w:b/>
          <w:sz w:val="20"/>
        </w:rPr>
        <w:t>ELÉCTRICO</w:t>
      </w:r>
      <w:r>
        <w:rPr>
          <w:rFonts w:ascii="Verdana" w:hAnsi="Verdana"/>
          <w:sz w:val="20"/>
        </w:rPr>
        <w:t>, Manuel Ignacio Dussan, Enero de 2008</w:t>
      </w:r>
      <w:r>
        <w:rPr>
          <w:sz w:val="23"/>
        </w:rPr>
        <w:t>. </w:t>
      </w:r>
      <w:r>
        <w:rPr>
          <w:rFonts w:ascii="Verdana" w:hAnsi="Verdana"/>
          <w:sz w:val="20"/>
        </w:rPr>
        <w:t>Este documento se incluye como anexo.</w:t>
      </w:r>
    </w:p>
    <w:p>
      <w:pPr>
        <w:spacing w:after="0"/>
        <w:jc w:val="left"/>
        <w:rPr>
          <w:rFonts w:ascii="Verdana" w:hAnsi="Verdana"/>
          <w:sz w:val="20"/>
        </w:rPr>
        <w:sectPr>
          <w:headerReference w:type="default" r:id="rId25"/>
          <w:footerReference w:type="default" r:id="rId26"/>
          <w:pgSz w:w="12240" w:h="15840"/>
          <w:pgMar w:header="718" w:footer="954" w:top="1360" w:bottom="1140" w:left="1200" w:right="380"/>
          <w:pgNumType w:start="41"/>
        </w:sectPr>
      </w:pPr>
    </w:p>
    <w:p>
      <w:pPr>
        <w:pStyle w:val="BodyText"/>
        <w:spacing w:before="3"/>
        <w:rPr>
          <w:rFonts w:ascii="Verdana"/>
          <w:sz w:val="11"/>
        </w:rPr>
      </w:pPr>
    </w:p>
    <w:p>
      <w:pPr>
        <w:pStyle w:val="Heading9"/>
        <w:spacing w:before="101"/>
        <w:ind w:left="1804"/>
      </w:pPr>
      <w:r>
        <w:rPr/>
        <w:t>Tabla 3.2 - Problemas y metas del subsector eléctrico</w:t>
      </w:r>
    </w:p>
    <w:p>
      <w:pPr>
        <w:pStyle w:val="BodyText"/>
        <w:spacing w:before="3" w:after="1"/>
        <w:rPr>
          <w:b/>
        </w:rPr>
      </w:pPr>
    </w:p>
    <w:tbl>
      <w:tblPr>
        <w:tblW w:w="0" w:type="auto"/>
        <w:jc w:val="left"/>
        <w:tblInd w:w="185"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3166"/>
        <w:gridCol w:w="3168"/>
        <w:gridCol w:w="3166"/>
      </w:tblGrid>
      <w:tr>
        <w:trPr>
          <w:trHeight w:val="531" w:hRule="atLeast"/>
        </w:trPr>
        <w:tc>
          <w:tcPr>
            <w:tcW w:w="3166" w:type="dxa"/>
            <w:tcBorders>
              <w:bottom w:val="single" w:sz="8" w:space="0" w:color="7F7F7F"/>
              <w:right w:val="single" w:sz="8" w:space="0" w:color="7F7F7F"/>
            </w:tcBorders>
            <w:shd w:val="clear" w:color="auto" w:fill="BFBFBF"/>
          </w:tcPr>
          <w:p>
            <w:pPr>
              <w:pStyle w:val="TableParagraph"/>
              <w:spacing w:before="132"/>
              <w:ind w:left="964"/>
              <w:rPr>
                <w:b/>
                <w:sz w:val="22"/>
              </w:rPr>
            </w:pPr>
            <w:r>
              <w:rPr>
                <w:b/>
                <w:sz w:val="22"/>
              </w:rPr>
              <w:t>PROBLEMA</w:t>
            </w:r>
          </w:p>
        </w:tc>
        <w:tc>
          <w:tcPr>
            <w:tcW w:w="6334" w:type="dxa"/>
            <w:gridSpan w:val="2"/>
            <w:tcBorders>
              <w:left w:val="single" w:sz="8" w:space="0" w:color="7F7F7F"/>
              <w:bottom w:val="single" w:sz="8" w:space="0" w:color="7F7F7F"/>
            </w:tcBorders>
            <w:shd w:val="clear" w:color="auto" w:fill="BFBFBF"/>
          </w:tcPr>
          <w:p>
            <w:pPr>
              <w:pStyle w:val="TableParagraph"/>
              <w:spacing w:before="132"/>
              <w:ind w:left="1794"/>
              <w:rPr>
                <w:b/>
                <w:sz w:val="22"/>
              </w:rPr>
            </w:pPr>
            <w:r>
              <w:rPr>
                <w:b/>
                <w:sz w:val="22"/>
              </w:rPr>
              <w:t>METAS DE LARGO PLAZO</w:t>
            </w:r>
          </w:p>
        </w:tc>
      </w:tr>
      <w:tr>
        <w:trPr>
          <w:trHeight w:val="385" w:hRule="atLeast"/>
        </w:trPr>
        <w:tc>
          <w:tcPr>
            <w:tcW w:w="3166" w:type="dxa"/>
            <w:tcBorders>
              <w:top w:val="single" w:sz="8" w:space="0" w:color="7F7F7F"/>
              <w:bottom w:val="single" w:sz="8" w:space="0" w:color="7F7F7F"/>
              <w:right w:val="single" w:sz="8" w:space="0" w:color="7F7F7F"/>
            </w:tcBorders>
          </w:tcPr>
          <w:p>
            <w:pPr>
              <w:pStyle w:val="TableParagraph"/>
              <w:spacing w:line="191" w:lineRule="exact"/>
              <w:ind w:left="107"/>
              <w:rPr>
                <w:sz w:val="16"/>
              </w:rPr>
            </w:pPr>
            <w:r>
              <w:rPr>
                <w:sz w:val="16"/>
              </w:rPr>
              <w:t>Sostenibilidad financiera</w:t>
            </w:r>
          </w:p>
        </w:tc>
        <w:tc>
          <w:tcPr>
            <w:tcW w:w="3168" w:type="dxa"/>
            <w:tcBorders>
              <w:top w:val="single" w:sz="8" w:space="0" w:color="7F7F7F"/>
              <w:left w:val="single" w:sz="8" w:space="0" w:color="7F7F7F"/>
              <w:bottom w:val="single" w:sz="8" w:space="0" w:color="7F7F7F"/>
              <w:right w:val="single" w:sz="8" w:space="0" w:color="7F7F7F"/>
            </w:tcBorders>
          </w:tcPr>
          <w:p>
            <w:pPr>
              <w:pStyle w:val="TableParagraph"/>
              <w:spacing w:line="192" w:lineRule="exact" w:before="4"/>
              <w:ind w:left="111" w:right="399"/>
              <w:rPr>
                <w:sz w:val="16"/>
              </w:rPr>
            </w:pPr>
            <w:r>
              <w:rPr>
                <w:sz w:val="16"/>
              </w:rPr>
              <w:t>Mejora en la gestión comercial de las empresas de distribución</w:t>
            </w:r>
          </w:p>
        </w:tc>
        <w:tc>
          <w:tcPr>
            <w:tcW w:w="3166" w:type="dxa"/>
            <w:tcBorders>
              <w:top w:val="single" w:sz="8" w:space="0" w:color="7F7F7F"/>
              <w:left w:val="single" w:sz="8" w:space="0" w:color="7F7F7F"/>
              <w:bottom w:val="single" w:sz="8" w:space="0" w:color="7F7F7F"/>
            </w:tcBorders>
          </w:tcPr>
          <w:p>
            <w:pPr>
              <w:pStyle w:val="TableParagraph"/>
              <w:spacing w:line="192" w:lineRule="exact" w:before="4"/>
              <w:ind w:left="111" w:right="744"/>
              <w:rPr>
                <w:sz w:val="16"/>
              </w:rPr>
            </w:pPr>
            <w:r>
              <w:rPr>
                <w:sz w:val="16"/>
              </w:rPr>
              <w:t>Diversificación de las fuentes de generación.</w:t>
            </w:r>
          </w:p>
        </w:tc>
      </w:tr>
      <w:tr>
        <w:trPr>
          <w:trHeight w:val="1156" w:hRule="atLeast"/>
        </w:trPr>
        <w:tc>
          <w:tcPr>
            <w:tcW w:w="3166" w:type="dxa"/>
            <w:tcBorders>
              <w:top w:val="single" w:sz="8" w:space="0" w:color="7F7F7F"/>
              <w:bottom w:val="single" w:sz="8" w:space="0" w:color="7F7F7F"/>
              <w:right w:val="single" w:sz="8" w:space="0" w:color="7F7F7F"/>
            </w:tcBorders>
          </w:tcPr>
          <w:p>
            <w:pPr>
              <w:pStyle w:val="TableParagraph"/>
              <w:spacing w:line="242" w:lineRule="auto"/>
              <w:ind w:left="107" w:right="1116"/>
              <w:rPr>
                <w:sz w:val="16"/>
              </w:rPr>
            </w:pPr>
            <w:r>
              <w:rPr>
                <w:sz w:val="16"/>
              </w:rPr>
              <w:t>Dependencia derivados del Petróleo</w:t>
            </w:r>
          </w:p>
        </w:tc>
        <w:tc>
          <w:tcPr>
            <w:tcW w:w="3168" w:type="dxa"/>
            <w:tcBorders>
              <w:top w:val="single" w:sz="8" w:space="0" w:color="7F7F7F"/>
              <w:left w:val="single" w:sz="8" w:space="0" w:color="7F7F7F"/>
              <w:bottom w:val="single" w:sz="8" w:space="0" w:color="7F7F7F"/>
              <w:right w:val="single" w:sz="8" w:space="0" w:color="7F7F7F"/>
            </w:tcBorders>
          </w:tcPr>
          <w:p>
            <w:pPr>
              <w:pStyle w:val="TableParagraph"/>
              <w:ind w:left="111" w:right="326"/>
              <w:rPr>
                <w:sz w:val="16"/>
              </w:rPr>
            </w:pPr>
            <w:r>
              <w:rPr>
                <w:sz w:val="16"/>
              </w:rPr>
              <w:t>Eliminar el consumo de gasoil y reducir en 50% el consumo de bunker C para generación eléctrica en la red pública (2012)</w:t>
            </w:r>
          </w:p>
        </w:tc>
        <w:tc>
          <w:tcPr>
            <w:tcW w:w="3166" w:type="dxa"/>
            <w:tcBorders>
              <w:top w:val="single" w:sz="8" w:space="0" w:color="7F7F7F"/>
              <w:left w:val="single" w:sz="8" w:space="0" w:color="7F7F7F"/>
              <w:bottom w:val="single" w:sz="8" w:space="0" w:color="7F7F7F"/>
            </w:tcBorders>
          </w:tcPr>
          <w:p>
            <w:pPr>
              <w:pStyle w:val="TableParagraph"/>
              <w:ind w:left="111" w:right="416"/>
              <w:jc w:val="both"/>
              <w:rPr>
                <w:sz w:val="16"/>
              </w:rPr>
            </w:pPr>
            <w:r>
              <w:rPr>
                <w:sz w:val="16"/>
              </w:rPr>
              <w:t>Diversificación fuentes de energía en 2020: 24% participación en mercado De proyectos renovables;</w:t>
            </w:r>
          </w:p>
          <w:p>
            <w:pPr>
              <w:pStyle w:val="TableParagraph"/>
              <w:spacing w:line="192" w:lineRule="exact" w:before="3"/>
              <w:ind w:left="111" w:right="495"/>
              <w:rPr>
                <w:sz w:val="16"/>
              </w:rPr>
            </w:pPr>
            <w:r>
              <w:rPr>
                <w:sz w:val="16"/>
              </w:rPr>
              <w:t>máximo 50% dependencia un solo combustible; 40% mercado energía limpia.</w:t>
            </w:r>
          </w:p>
        </w:tc>
      </w:tr>
      <w:tr>
        <w:trPr>
          <w:trHeight w:val="383" w:hRule="atLeast"/>
        </w:trPr>
        <w:tc>
          <w:tcPr>
            <w:tcW w:w="3166" w:type="dxa"/>
            <w:tcBorders>
              <w:top w:val="single" w:sz="8" w:space="0" w:color="7F7F7F"/>
              <w:bottom w:val="single" w:sz="8" w:space="0" w:color="7F7F7F"/>
              <w:right w:val="single" w:sz="8" w:space="0" w:color="7F7F7F"/>
            </w:tcBorders>
          </w:tcPr>
          <w:p>
            <w:pPr>
              <w:pStyle w:val="TableParagraph"/>
              <w:spacing w:line="189" w:lineRule="exact"/>
              <w:ind w:left="107"/>
              <w:rPr>
                <w:sz w:val="16"/>
              </w:rPr>
            </w:pPr>
            <w:r>
              <w:rPr>
                <w:sz w:val="16"/>
              </w:rPr>
              <w:t>Pérdida confianza inversionistas</w:t>
            </w:r>
          </w:p>
        </w:tc>
        <w:tc>
          <w:tcPr>
            <w:tcW w:w="3168" w:type="dxa"/>
            <w:tcBorders>
              <w:top w:val="single" w:sz="8" w:space="0" w:color="7F7F7F"/>
              <w:left w:val="single" w:sz="8" w:space="0" w:color="7F7F7F"/>
              <w:bottom w:val="single" w:sz="8" w:space="0" w:color="7F7F7F"/>
              <w:right w:val="single" w:sz="8" w:space="0" w:color="7F7F7F"/>
            </w:tcBorders>
          </w:tcPr>
          <w:p>
            <w:pPr>
              <w:pStyle w:val="TableParagraph"/>
              <w:spacing w:line="194" w:lineRule="exact"/>
              <w:ind w:left="987" w:right="292" w:hanging="651"/>
              <w:rPr>
                <w:sz w:val="16"/>
              </w:rPr>
            </w:pPr>
            <w:r>
              <w:rPr>
                <w:sz w:val="16"/>
              </w:rPr>
              <w:t>Movilización recursos para financiar plan de inversión</w:t>
            </w:r>
          </w:p>
        </w:tc>
        <w:tc>
          <w:tcPr>
            <w:tcW w:w="3166" w:type="dxa"/>
            <w:tcBorders>
              <w:top w:val="single" w:sz="8" w:space="0" w:color="7F7F7F"/>
              <w:left w:val="single" w:sz="8" w:space="0" w:color="7F7F7F"/>
              <w:bottom w:val="single" w:sz="8" w:space="0" w:color="7F7F7F"/>
            </w:tcBorders>
          </w:tcPr>
          <w:p>
            <w:pPr>
              <w:pStyle w:val="TableParagraph"/>
              <w:spacing w:line="189" w:lineRule="exact"/>
              <w:ind w:left="318"/>
              <w:rPr>
                <w:sz w:val="16"/>
              </w:rPr>
            </w:pPr>
            <w:r>
              <w:rPr>
                <w:sz w:val="16"/>
              </w:rPr>
              <w:t>Autosuficiencia financiera sostenible</w:t>
            </w:r>
          </w:p>
        </w:tc>
      </w:tr>
      <w:tr>
        <w:trPr>
          <w:trHeight w:val="188" w:hRule="atLeast"/>
        </w:trPr>
        <w:tc>
          <w:tcPr>
            <w:tcW w:w="3166" w:type="dxa"/>
            <w:tcBorders>
              <w:top w:val="single" w:sz="8" w:space="0" w:color="7F7F7F"/>
              <w:bottom w:val="single" w:sz="8" w:space="0" w:color="7F7F7F"/>
              <w:right w:val="single" w:sz="8" w:space="0" w:color="7F7F7F"/>
            </w:tcBorders>
          </w:tcPr>
          <w:p>
            <w:pPr>
              <w:pStyle w:val="TableParagraph"/>
              <w:spacing w:line="169" w:lineRule="exact"/>
              <w:ind w:left="107"/>
              <w:rPr>
                <w:sz w:val="16"/>
              </w:rPr>
            </w:pPr>
            <w:r>
              <w:rPr>
                <w:sz w:val="16"/>
              </w:rPr>
              <w:t>Pérdida confianza consumidores</w:t>
            </w:r>
          </w:p>
        </w:tc>
        <w:tc>
          <w:tcPr>
            <w:tcW w:w="6334" w:type="dxa"/>
            <w:gridSpan w:val="2"/>
            <w:tcBorders>
              <w:top w:val="single" w:sz="8" w:space="0" w:color="7F7F7F"/>
              <w:left w:val="single" w:sz="8" w:space="0" w:color="7F7F7F"/>
              <w:bottom w:val="single" w:sz="8" w:space="0" w:color="7F7F7F"/>
            </w:tcBorders>
          </w:tcPr>
          <w:p>
            <w:pPr>
              <w:pStyle w:val="TableParagraph"/>
              <w:spacing w:line="169" w:lineRule="exact"/>
              <w:ind w:left="2092" w:right="2059"/>
              <w:jc w:val="center"/>
              <w:rPr>
                <w:sz w:val="16"/>
              </w:rPr>
            </w:pPr>
            <w:r>
              <w:rPr>
                <w:sz w:val="16"/>
              </w:rPr>
              <w:t>Atender 100% de la demanda</w:t>
            </w:r>
          </w:p>
        </w:tc>
      </w:tr>
      <w:tr>
        <w:trPr>
          <w:trHeight w:val="1352" w:hRule="atLeast"/>
        </w:trPr>
        <w:tc>
          <w:tcPr>
            <w:tcW w:w="3166" w:type="dxa"/>
            <w:tcBorders>
              <w:top w:val="single" w:sz="8" w:space="0" w:color="7F7F7F"/>
              <w:right w:val="single" w:sz="8" w:space="0" w:color="7F7F7F"/>
            </w:tcBorders>
          </w:tcPr>
          <w:p>
            <w:pPr>
              <w:pStyle w:val="TableParagraph"/>
              <w:spacing w:line="191" w:lineRule="exact"/>
              <w:ind w:left="107"/>
              <w:rPr>
                <w:sz w:val="16"/>
              </w:rPr>
            </w:pPr>
            <w:r>
              <w:rPr>
                <w:sz w:val="16"/>
              </w:rPr>
              <w:t>Renacionalización de la industria</w:t>
            </w:r>
          </w:p>
        </w:tc>
        <w:tc>
          <w:tcPr>
            <w:tcW w:w="3168" w:type="dxa"/>
            <w:tcBorders>
              <w:top w:val="single" w:sz="8" w:space="0" w:color="7F7F7F"/>
              <w:left w:val="single" w:sz="8" w:space="0" w:color="7F7F7F"/>
              <w:right w:val="single" w:sz="8" w:space="0" w:color="7F7F7F"/>
            </w:tcBorders>
          </w:tcPr>
          <w:p>
            <w:pPr>
              <w:pStyle w:val="TableParagraph"/>
              <w:ind w:left="111" w:right="399"/>
              <w:rPr>
                <w:sz w:val="16"/>
              </w:rPr>
            </w:pPr>
            <w:r>
              <w:rPr>
                <w:sz w:val="16"/>
              </w:rPr>
              <w:t>Establecer EGEHIG y ETED como sociedades anónimas con gestión comercial</w:t>
            </w:r>
          </w:p>
          <w:p>
            <w:pPr>
              <w:pStyle w:val="TableParagraph"/>
              <w:spacing w:before="10"/>
              <w:rPr>
                <w:b/>
                <w:sz w:val="15"/>
              </w:rPr>
            </w:pPr>
          </w:p>
          <w:p>
            <w:pPr>
              <w:pStyle w:val="TableParagraph"/>
              <w:ind w:left="111" w:right="476"/>
              <w:rPr>
                <w:sz w:val="16"/>
              </w:rPr>
            </w:pPr>
            <w:r>
              <w:rPr>
                <w:sz w:val="16"/>
              </w:rPr>
              <w:t>Definir papel de CDEEE y esquema funcionamiento mercado de energía</w:t>
            </w:r>
          </w:p>
        </w:tc>
        <w:tc>
          <w:tcPr>
            <w:tcW w:w="3166" w:type="dxa"/>
            <w:tcBorders>
              <w:top w:val="single" w:sz="8" w:space="0" w:color="7F7F7F"/>
              <w:left w:val="single" w:sz="8" w:space="0" w:color="7F7F7F"/>
            </w:tcBorders>
          </w:tcPr>
          <w:p>
            <w:pPr>
              <w:pStyle w:val="TableParagraph"/>
              <w:ind w:left="111" w:right="550"/>
              <w:rPr>
                <w:sz w:val="16"/>
              </w:rPr>
            </w:pPr>
            <w:r>
              <w:rPr>
                <w:sz w:val="16"/>
              </w:rPr>
              <w:t>Mejorar la gestión de las empresas distribuidoras y conseguir inversionista estratégico</w:t>
            </w:r>
          </w:p>
        </w:tc>
      </w:tr>
    </w:tbl>
    <w:p>
      <w:pPr>
        <w:pStyle w:val="BodyText"/>
        <w:rPr>
          <w:b/>
          <w:sz w:val="28"/>
        </w:rPr>
      </w:pPr>
    </w:p>
    <w:p>
      <w:pPr>
        <w:pStyle w:val="BodyText"/>
        <w:spacing w:before="214"/>
        <w:ind w:left="239" w:right="1055" w:hanging="1"/>
        <w:jc w:val="both"/>
      </w:pPr>
      <w:r>
        <w:rPr/>
        <w:t>A continuación se discuten las líneas estratégicas organizadas de acuerdo a los problemas más apremiantes identificados en la Tabla 3.2.</w:t>
      </w:r>
    </w:p>
    <w:p>
      <w:pPr>
        <w:pStyle w:val="BodyText"/>
        <w:spacing w:before="9"/>
      </w:pPr>
    </w:p>
    <w:p>
      <w:pPr>
        <w:pStyle w:val="Heading3"/>
        <w:ind w:left="1372"/>
        <w:rPr>
          <w:i/>
        </w:rPr>
      </w:pPr>
      <w:bookmarkStart w:name="_TOC_250067" w:id="32"/>
      <w:bookmarkEnd w:id="32"/>
      <w:r>
        <w:rPr>
          <w:i/>
          <w:w w:val="110"/>
        </w:rPr>
        <w:t>Sostenibilidad financiera</w:t>
      </w:r>
    </w:p>
    <w:p>
      <w:pPr>
        <w:pStyle w:val="BodyText"/>
        <w:rPr>
          <w:rFonts w:ascii="Times New Roman"/>
          <w:b/>
          <w:i/>
          <w:sz w:val="25"/>
        </w:rPr>
      </w:pPr>
    </w:p>
    <w:p>
      <w:pPr>
        <w:pStyle w:val="BodyText"/>
        <w:ind w:left="240" w:right="1054"/>
        <w:jc w:val="both"/>
      </w:pPr>
      <w:r>
        <w:rPr/>
        <w:t>Para el mediano plazo, el Plan Integral del Sector Eléctrico 2006-2012 define bastante bien la estrategia a mediano plazo para solucionar el círculo vicioso y cumplir con las metas de atención de la demanda, mejora del CRI y eliminación de las transferencias de presupuesto. La estrategia reconoce la debilidad financiera del sector y la amenaza de un ambiente poco favorable para la inversión privada, y aprovecha la oportunidad que la recuperación del sector tiene prioridad desde el punto de vista político y macroeconómico.</w:t>
      </w:r>
    </w:p>
    <w:p>
      <w:pPr>
        <w:pStyle w:val="BodyText"/>
      </w:pPr>
    </w:p>
    <w:p>
      <w:pPr>
        <w:pStyle w:val="BodyText"/>
        <w:ind w:left="240" w:right="1054"/>
        <w:jc w:val="both"/>
      </w:pPr>
      <w:r>
        <w:rPr/>
        <w:t>El plan adoptado por el Gobierno Dominicano reconoce que el esquema descentralizado de mercado competitivo y participación privada no es adecuado para recuperar a corto plazo el sector de la profunda crisis financiera y de suministro. La estrategia adoptada se basa en la idea que los consumidores regularizan su servicio y pagan por la energía consumida si reciben un buen servicio a precios razonables y saben que las empresas pueden detectar y sancionar el hurto y el fraude de energía. El plan establece un proceso gradual de recuperación en un periodo de transición de 4 o 5 años con metas anuales de mejora del CRI, acompañadas de metas de reducción de la energía no servida y mejora de la calidad del servicio con prioridad a los mejores clientes (que no hurtan energía y pagan a tiempo).</w:t>
      </w:r>
    </w:p>
    <w:p>
      <w:pPr>
        <w:pStyle w:val="BodyText"/>
        <w:spacing w:before="1"/>
      </w:pPr>
    </w:p>
    <w:p>
      <w:pPr>
        <w:pStyle w:val="BodyText"/>
        <w:ind w:left="240" w:right="1053"/>
        <w:jc w:val="both"/>
      </w:pPr>
      <w:r>
        <w:rPr/>
        <w:t>El plan es un esfuerzo concertado entre el Gobierno y las empresas del sector en que las distribuidoras se comprometen a mejorar la gestión y pagar a tiempo por la energía consumida, las generadoras a entregar la energía programada, y el Gobierno a cubrir el déficit del flujo de caja.</w:t>
      </w:r>
    </w:p>
    <w:p>
      <w:pPr>
        <w:spacing w:after="0"/>
        <w:jc w:val="both"/>
        <w:sectPr>
          <w:pgSz w:w="12240" w:h="15840"/>
          <w:pgMar w:header="718" w:footer="954" w:top="1360" w:bottom="1140" w:left="1200" w:right="380"/>
        </w:sectPr>
      </w:pPr>
    </w:p>
    <w:p>
      <w:pPr>
        <w:pStyle w:val="BodyText"/>
        <w:rPr>
          <w:sz w:val="20"/>
        </w:rPr>
      </w:pPr>
    </w:p>
    <w:p>
      <w:pPr>
        <w:pStyle w:val="BodyText"/>
        <w:spacing w:before="9"/>
        <w:rPr>
          <w:sz w:val="22"/>
        </w:rPr>
      </w:pPr>
    </w:p>
    <w:p>
      <w:pPr>
        <w:pStyle w:val="BodyText"/>
        <w:ind w:left="239" w:right="1056"/>
        <w:jc w:val="both"/>
      </w:pPr>
      <w:r>
        <w:rPr/>
        <w:t>Durante el periodo de transición CDEEE asume un papel central como empresa estatal integrada verticalmente en la coordinación de la ejecución del plan de recuperación y en el desarrollo de los proyectos de generación requeridos para diversificar la oferta y reducir los costos de generación. A través de EGEHID desarrolla proyectos hidroeléctricos y como intermediario comercial contrata el suministro de energía con nuevos proyectos termoeléctricos a carbón.</w:t>
      </w:r>
    </w:p>
    <w:p>
      <w:pPr>
        <w:pStyle w:val="BodyText"/>
        <w:spacing w:before="1"/>
      </w:pPr>
    </w:p>
    <w:p>
      <w:pPr>
        <w:pStyle w:val="BodyText"/>
        <w:ind w:left="239" w:right="987"/>
        <w:jc w:val="both"/>
      </w:pPr>
      <w:r>
        <w:rPr/>
        <w:t>La sostenibilidad financiera del sector a largo plazo requiere una estrategia diferente que a mediano plazo, pues en la medida que el plan de recuperación tenga éxito a mediano plazo, se eliminará la necesidad del apoyo financiero del presupuesto nacional, la intervención y supervisión del sector por parte del gobierno central y el papel de CDEEE como intermediario</w:t>
      </w:r>
      <w:r>
        <w:rPr>
          <w:spacing w:val="-1"/>
        </w:rPr>
        <w:t> </w:t>
      </w:r>
      <w:r>
        <w:rPr/>
        <w:t>comercial.</w:t>
      </w:r>
    </w:p>
    <w:p>
      <w:pPr>
        <w:pStyle w:val="BodyText"/>
        <w:spacing w:before="11"/>
        <w:rPr>
          <w:sz w:val="22"/>
        </w:rPr>
      </w:pPr>
    </w:p>
    <w:p>
      <w:pPr>
        <w:pStyle w:val="BodyText"/>
        <w:spacing w:before="1"/>
        <w:ind w:left="239" w:right="1055"/>
        <w:jc w:val="both"/>
      </w:pPr>
      <w:r>
        <w:rPr/>
        <w:t>La recuperación financiera del sector depende principalmente de decisiones de política: la mejora en la gestión comercial de las empresas de distribución y la diversificación de las fuentes de generación. El nivel promedio de las tarifas de electricidad en principio es suficiente para cubrir los costos eficientes de suministro, especialmente cuando entren en operación las nuevas unidades de generación a carbón.</w:t>
      </w:r>
    </w:p>
    <w:p>
      <w:pPr>
        <w:pStyle w:val="BodyText"/>
        <w:spacing w:before="11"/>
        <w:rPr>
          <w:sz w:val="22"/>
        </w:rPr>
      </w:pPr>
    </w:p>
    <w:p>
      <w:pPr>
        <w:pStyle w:val="BodyText"/>
        <w:spacing w:before="1"/>
        <w:ind w:left="239" w:right="1053"/>
        <w:jc w:val="both"/>
      </w:pPr>
      <w:r>
        <w:rPr/>
        <w:t>Las empresas de distribución, tanto EDEESTE, en manos de un operador privado, como EDESUR y EDENORTE, en manos de un equipo gerencial nacional, cuentan con los sistemas de información necesarios para mejorar la gestión comercial y con un marco legal mejorado para penalizar el fraude y el no pago de electricidad. La nueva administración de gerentes nacionales funciones en un marco de autonomía y rendición de cuentas propio de una sociedad anónima operando con fines comerciales. Aún cuando EDENORTE y EDESUR pueden continuar operando como empresas estatales, no parece necesaria la tutela y control por parte de CDEEE, tal como se propone en el proyecto de ley que modifica los estatutos de CDEEE.</w:t>
      </w:r>
    </w:p>
    <w:p>
      <w:pPr>
        <w:pStyle w:val="BodyText"/>
      </w:pPr>
    </w:p>
    <w:p>
      <w:pPr>
        <w:pStyle w:val="BodyText"/>
        <w:ind w:left="239" w:right="1054"/>
        <w:jc w:val="both"/>
      </w:pPr>
      <w:r>
        <w:rPr/>
        <w:t>Si el esquema de gerencia nacional no tiene éxito, la estrategia debería considerar otras opciones como un contrato de gestión de EDENORTE o EDESUR con una empresa experimentada o la negociación con un socio estratégico encargado de la gestión de las empresas.</w:t>
      </w:r>
    </w:p>
    <w:p>
      <w:pPr>
        <w:pStyle w:val="BodyText"/>
        <w:spacing w:before="11"/>
        <w:rPr>
          <w:sz w:val="14"/>
        </w:rPr>
      </w:pPr>
    </w:p>
    <w:p>
      <w:pPr>
        <w:pStyle w:val="Heading3"/>
        <w:spacing w:line="244" w:lineRule="auto" w:before="104"/>
        <w:ind w:left="1372" w:right="1060"/>
      </w:pPr>
      <w:bookmarkStart w:name="_TOC_250066" w:id="33"/>
      <w:r>
        <w:rPr>
          <w:i/>
          <w:w w:val="110"/>
        </w:rPr>
        <w:t>Disminuir la dependencia de derivados del petróleo y diversificar las </w:t>
      </w:r>
      <w:bookmarkEnd w:id="33"/>
      <w:r>
        <w:rPr>
          <w:w w:val="110"/>
        </w:rPr>
        <w:t>fuentes de generación</w:t>
      </w:r>
    </w:p>
    <w:p>
      <w:pPr>
        <w:pStyle w:val="BodyText"/>
        <w:spacing w:before="6"/>
        <w:rPr>
          <w:rFonts w:ascii="Times New Roman"/>
          <w:b/>
          <w:i/>
        </w:rPr>
      </w:pPr>
    </w:p>
    <w:p>
      <w:pPr>
        <w:pStyle w:val="BodyText"/>
        <w:spacing w:before="1"/>
        <w:ind w:left="240" w:right="1055" w:hanging="1"/>
        <w:jc w:val="both"/>
      </w:pPr>
      <w:r>
        <w:rPr/>
        <w:t>A mediano plazo, la estrategia de diversificación de las fuentes de generación iniciada por el Gobierno y la CDEEE es adecuada pues busca, en términos generales, reducir los altos costos de generación y la vulnerabilidad de los costos de generación a los altos precios de los derivados de petróleo, aprovechando la oportunidad de costos más bajos de generación a carbón y teniendo en cuenta las dificultades actuales para movilizar capital privado. La  ley de incentivos para el desarrollo de recursos renovables dará un impulso al desarrollo</w:t>
      </w:r>
      <w:r>
        <w:rPr>
          <w:spacing w:val="-27"/>
        </w:rPr>
        <w:t> </w:t>
      </w:r>
      <w:r>
        <w:rPr/>
        <w:t>por</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4"/>
        <w:jc w:val="both"/>
      </w:pPr>
      <w:r>
        <w:rPr/>
        <w:t>el sector privado del potencial de generación eólica y otras FER’s. CDEEE promueve el desarrollo de plantas termoeléctricas a carbón, las cuales forman parte de un plan de expansión de generación mínimo costo que busca desplazar del despacho generación térmica costosa a base de combustibles líquidos. Para atraer a inversionistas privados, CDEEE ofrece contratos a largo plazo avalados por la Nación, un esquema necesario en el periodo de transición en que las empresas de distribución no son sujeto de crédito y no existe un ambiente favorable para la inversión privada.</w:t>
      </w:r>
    </w:p>
    <w:p>
      <w:pPr>
        <w:pStyle w:val="BodyText"/>
        <w:spacing w:before="1"/>
      </w:pPr>
    </w:p>
    <w:p>
      <w:pPr>
        <w:pStyle w:val="BodyText"/>
        <w:ind w:left="240" w:right="1054" w:hanging="1"/>
        <w:jc w:val="both"/>
      </w:pPr>
      <w:r>
        <w:rPr/>
        <w:t>A largo plazo, sin embargo, el rol de CDEEE como intermediario comercial y la expansión de generación con base en carbón no son sostenibles ni recomendables. No es sostenible desde el punto de vista ambiental el desarrollo masivo de plantas a carbón, ni deseable un esquema de participación privada basado en contratos de venta de energía a la empresa estatal con garantías de la nación. Se ha propuesto como metas a largo plazo la diversificación, pero limitando al 50% la dependencia a una sola fuente de energía y promoviendo el desarrollo de energía limpia. Para lograr estas metas, se proponen las líneas estratégicas discutidas a continuación. Por su importancia, se dedica una sección específica al tema de estrategia de expansión de</w:t>
      </w:r>
      <w:r>
        <w:rPr>
          <w:spacing w:val="-4"/>
        </w:rPr>
        <w:t> </w:t>
      </w:r>
      <w:r>
        <w:rPr/>
        <w:t>generación.</w:t>
      </w:r>
    </w:p>
    <w:p>
      <w:pPr>
        <w:pStyle w:val="BodyText"/>
        <w:spacing w:before="1"/>
      </w:pPr>
    </w:p>
    <w:p>
      <w:pPr>
        <w:pStyle w:val="BodyText"/>
        <w:ind w:left="240" w:right="1053"/>
        <w:jc w:val="both"/>
      </w:pPr>
      <w:r>
        <w:rPr>
          <w:b/>
        </w:rPr>
        <w:t>Evaluar y definir un modelo apropiado de mercado mayorista </w:t>
      </w:r>
      <w:r>
        <w:rPr/>
        <w:t>que promueva la </w:t>
      </w:r>
      <w:r>
        <w:rPr>
          <w:spacing w:val="-3"/>
        </w:rPr>
        <w:t>libre </w:t>
      </w:r>
      <w:r>
        <w:rPr/>
        <w:t>concurrencia para asegurar una expansión de generación a mínimo costo evaluado y que genere señales de precio que incentiven una oferta eficiente, suficiente y sostenible ambientalmente. Se identificaron dos opciones. Primero, restablecer el modelo de mercado que definió la Ley General de Electricidad con algunas reformas, especialmente la obligación de las empresas distribuidoras de contratar a largo plazo el suministro de energía para atender un porcentaje alto de su demanda estimada, utilizando procedimientos de licitación regulados por SIE que promuevan la libre concurrencia. Segundo, establecer temporalmente el esquema de comprador principal de energía, a cargo de una entidad neutra en el mercado como la empresa de transmisión ETED. En los dos casos, se mantiene y promueve el desarrollo del mercado de grandes consumidores y se adoptan normas para facilitar el acceso de pequeños proyectos de generación renovable al mercado</w:t>
      </w:r>
      <w:r>
        <w:rPr>
          <w:spacing w:val="-20"/>
        </w:rPr>
        <w:t> </w:t>
      </w:r>
      <w:r>
        <w:rPr/>
        <w:t>mayorista.</w:t>
      </w:r>
    </w:p>
    <w:p>
      <w:pPr>
        <w:pStyle w:val="BodyText"/>
        <w:spacing w:before="10"/>
        <w:rPr>
          <w:sz w:val="22"/>
        </w:rPr>
      </w:pPr>
    </w:p>
    <w:p>
      <w:pPr>
        <w:pStyle w:val="BodyText"/>
        <w:ind w:left="240" w:right="1053"/>
        <w:jc w:val="both"/>
      </w:pPr>
      <w:r>
        <w:rPr>
          <w:b/>
        </w:rPr>
        <w:t>Evaluar y definir incentivos adicionales y normas para el desarrollo de energía limpia. </w:t>
      </w:r>
      <w:r>
        <w:rPr/>
        <w:t>La ley de incentivos al desarrollo de energía renovables es un instrumento importante para apoyar el desarrollo de energía limpia en República Dominicana. El impacto de la ley de incentivos está limitado principalmente a la participación privada en el desarrollo de pequeños proyectos de energía renovable: eólica de capacidad generación menor a 50 MW, biomasa y pequeñas centrales hidroeléctricas (&lt;5 MW). El análisis del plan de expansión de generación muestra que la contribución de estas fuentes a la generación eléctrica está limitada a un rango de 10% al 20%. Si se quiere tener un mayor desarrollo de energía limpia que sea una alternativa real a las plantas de generación a carbón, se requiere pensar en gas natural y en proyectos hidroeléctricos más</w:t>
      </w:r>
      <w:r>
        <w:rPr>
          <w:spacing w:val="-10"/>
        </w:rPr>
        <w:t> </w:t>
      </w:r>
      <w:r>
        <w:rPr/>
        <w:t>grandes.</w:t>
      </w:r>
    </w:p>
    <w:p>
      <w:pPr>
        <w:pStyle w:val="BodyText"/>
        <w:spacing w:before="1"/>
      </w:pPr>
    </w:p>
    <w:p>
      <w:pPr>
        <w:pStyle w:val="BodyText"/>
        <w:spacing w:before="1"/>
        <w:ind w:left="240" w:right="1054"/>
        <w:jc w:val="both"/>
      </w:pPr>
      <w:r>
        <w:rPr/>
        <w:t>La conversión a gas natural de las centrales de ciclo combinado que utilizan actualmente gasoil es un proyecto interesante porque reduce los costos variables de generación, reduce la contaminación ambiental y reduce las necesidades de inversión en generación. El riesgo</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4"/>
        <w:jc w:val="both"/>
      </w:pPr>
      <w:r>
        <w:rPr/>
        <w:t>es que una expansión agresiva basada en generación térmica a carbón reduzca el espacio para despachar estas plantas a gas natural, pues los costos variables de la generación a carbón son muy bajos. Con los precios proyectados de los combustibles el desarrollo de plantas a carbón es marginalmente más económico que la conversión a gas natural, sin tener en cuenta las externalidades relacionadas con la contaminación ambiental y el riesgo de precio de las plantas a carbón. Por lo tanto, la estrategia para la promoción de la generación a gas natural y otras fuentes de energía limpia se podría basar en la aplicación de normas estrictas sobre emisión de contaminantes de las plantas a carbón que obliguen al uso de tecnologías (carbón limpio) y localización de proyectos que internalicen los mayores costos de inversión y operación requeridos para mitigar el impacto ambiental de estas</w:t>
      </w:r>
      <w:r>
        <w:rPr>
          <w:spacing w:val="-1"/>
        </w:rPr>
        <w:t> </w:t>
      </w:r>
      <w:r>
        <w:rPr/>
        <w:t>plantas.</w:t>
      </w:r>
    </w:p>
    <w:p>
      <w:pPr>
        <w:pStyle w:val="BodyText"/>
        <w:spacing w:before="2"/>
      </w:pPr>
    </w:p>
    <w:p>
      <w:pPr>
        <w:pStyle w:val="BodyText"/>
        <w:ind w:left="239" w:right="1054"/>
        <w:jc w:val="both"/>
      </w:pPr>
      <w:r>
        <w:rPr/>
        <w:t>EGEHID desarrolla actualmente un programa agresivo de construcción de proyectos hidroeléctricos, asumiendo los riesgos de precio y mercado. Sin embargo, los costos elevados de inversión pueden resultar en costos nivelados que no son competitivos en el mercado. Como estrategia general es conveniente que EGEHID opere como una empresa comercial con objetivos empresariales, sujeta a la disciplina del mercado y tome las decisiones de inversión con base en los costos evaluados de los proyectos, teniendo en cuenta los incentivos establecidos.</w:t>
      </w:r>
    </w:p>
    <w:p>
      <w:pPr>
        <w:pStyle w:val="BodyText"/>
        <w:spacing w:before="5"/>
      </w:pPr>
    </w:p>
    <w:p>
      <w:pPr>
        <w:pStyle w:val="Heading3"/>
        <w:spacing w:before="1"/>
        <w:rPr>
          <w:i/>
        </w:rPr>
      </w:pPr>
      <w:bookmarkStart w:name="_TOC_250065" w:id="34"/>
      <w:bookmarkEnd w:id="34"/>
      <w:r>
        <w:rPr>
          <w:i/>
          <w:w w:val="110"/>
        </w:rPr>
        <w:t>Recuperar la confianza de los inversionistas</w:t>
      </w:r>
    </w:p>
    <w:p>
      <w:pPr>
        <w:pStyle w:val="BodyText"/>
        <w:spacing w:before="1"/>
        <w:rPr>
          <w:rFonts w:ascii="Times New Roman"/>
          <w:b/>
          <w:i/>
          <w:sz w:val="24"/>
        </w:rPr>
      </w:pPr>
    </w:p>
    <w:p>
      <w:pPr>
        <w:pStyle w:val="BodyText"/>
        <w:ind w:left="239" w:right="1053"/>
        <w:jc w:val="both"/>
      </w:pPr>
      <w:r>
        <w:rPr/>
        <w:t>La estrategia para restablecer la confianza de los inversionistas tiene muchos puntos en común con las estrategias propuestas para resolver los problemas del círculo vicioso y la dependencia del petróleo, pues para atraer inversión privada en forma sostenible es necesario lograr la recuperación financiera del sector y poner en funcionamiento un mercado mayorista que incentive la expansión eficiente de la generación con participación de inversionistas privados.</w:t>
      </w:r>
    </w:p>
    <w:p>
      <w:pPr>
        <w:pStyle w:val="BodyText"/>
        <w:spacing w:before="10"/>
        <w:rPr>
          <w:sz w:val="22"/>
        </w:rPr>
      </w:pPr>
    </w:p>
    <w:p>
      <w:pPr>
        <w:pStyle w:val="BodyText"/>
        <w:spacing w:before="1"/>
        <w:ind w:left="239" w:right="1053"/>
        <w:jc w:val="both"/>
      </w:pPr>
      <w:r>
        <w:rPr/>
        <w:t>El reto que tiene por delante República Dominicana es cómo atraer inversionistas de nueva generación en un ambiente crecientemente adverso, en el cual se ha deteriorado el clima de inversión del país y a lo cual se suman las restricciones de financiamiento asociadas a la crisis global. En ese contexto fuertemente negativo, es fundamental que la República Dominicana transmita señales claras acerca de la calidad de sus instituciones. Tal vez la más importante de esas señales es el cumplimiento estricto de los compromisos contractuales asumidos. En estas condiciones, una revisión unilateral de los Contratos de Madrid podría traer beneficios efímeros de corto plazo, a cambio de una ausencia total de inversores serios en el sector a mediano plazo. Arreglar el tema de las deudas con el sector privado será, sin dudas, un tema central para empezar a restablecer este clima de inversión. El rol central que juegan los PPAs (Acuerdos de Compra-Venta de Energía por sus siglas en inglés) de largo plazo para dar las señales de precios y previsibilidad a los inversionistas requiere: (i) que los mecanismos de pago sean transparentes y (ii) que haya credibilidad respecto de que los compromisos se</w:t>
      </w:r>
      <w:r>
        <w:rPr>
          <w:spacing w:val="-4"/>
        </w:rPr>
        <w:t> </w:t>
      </w:r>
      <w:r>
        <w:rPr/>
        <w:t>cumplen.</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40" w:right="1054" w:hanging="1"/>
        <w:jc w:val="both"/>
      </w:pPr>
      <w:r>
        <w:rPr/>
        <w:t>A mediano plazo, mientras se restablecen las condiciones y confianza para la inversión privada y se recupera el sector, no es realista pensar en atraer inversión privada a riesgo  en distribución, y para mantener la participación privada en generación es necesario adoptar esquemas adecuados de mercado que reduzcan los riesgos para los inversionistas. En ese sentido, la estrategia actual que adoptó el gobierno en el plan integral a mediano plazo es correcta, al acudir a contratos de compra de energía de largo plazo garantizados por la Nación y a EGEHID para desarrollar proyectos hidroeléctricos medianos y</w:t>
      </w:r>
      <w:r>
        <w:rPr>
          <w:spacing w:val="-18"/>
        </w:rPr>
        <w:t> </w:t>
      </w:r>
      <w:r>
        <w:rPr/>
        <w:t>grandes.</w:t>
      </w:r>
    </w:p>
    <w:p>
      <w:pPr>
        <w:pStyle w:val="BodyText"/>
        <w:spacing w:before="1"/>
      </w:pPr>
    </w:p>
    <w:p>
      <w:pPr>
        <w:pStyle w:val="BodyText"/>
        <w:ind w:left="240" w:right="1053"/>
        <w:jc w:val="both"/>
      </w:pPr>
      <w:r>
        <w:rPr/>
        <w:t>Sin embargo, con una proyección de largo plazo se puede mejorar la gestión de las empresas estatales y su gobierno corporativo si se aprovecha la oportunidad de contar con empresas estatales (Edesur, Edenorte y Edeeste), constituidas como empresas comerciales con una estructura de gobierno de empresa privada, y la conversión a finales de 2007 de EGEHID y ETED en sociedades anónimas. La experiencia internacional muestra que las empresas estatales con un buen gobierno corporativo pueden lograr una gestión muy eficiente, similar a la de una empresa privada eficiente. Los requisitos para introducir un buen gobierno se pueden cumplir en República Dominicana a mediano plazo: la comercialización de la empresa (gestión comercial con un gobierno corporativo de empresa privada y con tarifas que cubran los costos eficientes de suministro), modelo de mercado con regulación fuerte e independiente y, no indispensable pero si conveniente, la capitalización de un porcentaje menor de la propiedad accionaria entre pequeños accionistas (democratización de la</w:t>
      </w:r>
      <w:r>
        <w:rPr>
          <w:spacing w:val="-1"/>
        </w:rPr>
        <w:t> </w:t>
      </w:r>
      <w:r>
        <w:rPr/>
        <w:t>propiedad).</w:t>
      </w:r>
    </w:p>
    <w:p>
      <w:pPr>
        <w:pStyle w:val="BodyText"/>
        <w:spacing w:before="11"/>
        <w:rPr>
          <w:sz w:val="22"/>
        </w:rPr>
      </w:pPr>
    </w:p>
    <w:p>
      <w:pPr>
        <w:pStyle w:val="BodyText"/>
        <w:ind w:left="240" w:right="1053"/>
        <w:jc w:val="both"/>
      </w:pPr>
      <w:r>
        <w:rPr/>
        <w:t>En relación al fortalecimiento de SIE y CNE, si se logra la autosuficiencia financiera del sector y normalizar el mercado mayorista, existe una oportunidad para que SIE aplique en forma autónoma las tarifas técnicas y demás regulaciones y CNE establezca una política sectorial, restableciendo la credibilidad de la SIE y CNE y, al mismo tiempo, fortaleciendo la capacidad técnica de estas dos instituciones.</w:t>
      </w:r>
    </w:p>
    <w:p>
      <w:pPr>
        <w:pStyle w:val="BodyText"/>
        <w:spacing w:before="7"/>
      </w:pPr>
    </w:p>
    <w:p>
      <w:pPr>
        <w:pStyle w:val="Heading3"/>
        <w:rPr>
          <w:i/>
        </w:rPr>
      </w:pPr>
      <w:bookmarkStart w:name="_TOC_250064" w:id="35"/>
      <w:bookmarkEnd w:id="35"/>
      <w:r>
        <w:rPr>
          <w:i/>
          <w:w w:val="110"/>
        </w:rPr>
        <w:t>Recuperar la pérdida de confianza de los consumidores</w:t>
      </w:r>
    </w:p>
    <w:p>
      <w:pPr>
        <w:pStyle w:val="BodyText"/>
        <w:spacing w:before="1"/>
        <w:rPr>
          <w:rFonts w:ascii="Times New Roman"/>
          <w:b/>
          <w:i/>
          <w:sz w:val="24"/>
        </w:rPr>
      </w:pPr>
    </w:p>
    <w:p>
      <w:pPr>
        <w:pStyle w:val="BodyText"/>
        <w:ind w:left="239" w:right="1054"/>
        <w:jc w:val="both"/>
        <w:rPr>
          <w:rFonts w:ascii="Verdana" w:hAnsi="Verdana"/>
          <w:sz w:val="20"/>
        </w:rPr>
      </w:pPr>
      <w:r>
        <w:rPr/>
        <w:t>Las metas propuestas para establecer la confianza de los consumidores son el de atender el 100% de la demanda, normalizar el servicio eléctrico a los barrios carenciados y mejorar la calidad del servicio y la atención a los clientes, los cuales forman parte del Plan integral de recuperación y muy especialmente de la aplicación efectiva del BonoLuz. La estrategia para atender el 100% de la demanda forma parte del proceso gradual de reducción de las pérdidas comerciales en que se premia el pago oportuno y el no robo de energía con buena calidad de servicio. De esta forma, con el aumento del CRI las empresas de distribución llegan a un punto de equilibrio en el flujo de caja en que los ingresos incrementales son suficientes para cubrir los costos incrementales y se justifica atender una mayor demanda hasta llegar al 100%. Muchas de estas metas se lograrán con la implementación del </w:t>
      </w:r>
      <w:r>
        <w:rPr>
          <w:rFonts w:ascii="Verdana" w:hAnsi="Verdana"/>
          <w:sz w:val="20"/>
        </w:rPr>
        <w:t>PLAN DE ACCIÓN PARA MODERNIZAR EL SECTOR ELÉCTRICO EN LA REPÚBLICA DOMINICANA.</w:t>
      </w:r>
    </w:p>
    <w:p>
      <w:pPr>
        <w:pStyle w:val="BodyText"/>
        <w:spacing w:before="11"/>
        <w:rPr>
          <w:rFonts w:ascii="Verdana"/>
          <w:sz w:val="22"/>
        </w:rPr>
      </w:pPr>
    </w:p>
    <w:p>
      <w:pPr>
        <w:pStyle w:val="BodyText"/>
        <w:ind w:left="240" w:right="1055"/>
        <w:jc w:val="both"/>
      </w:pPr>
      <w:r>
        <w:rPr/>
        <w:t>La estrategia para normalizar el servicio a los barrios carenciados consiste en un desmonte del PRA y la implementación del BonoLuz, con el fin de eliminar los incentivos perversos</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7"/>
        <w:jc w:val="both"/>
      </w:pPr>
      <w:r>
        <w:rPr/>
        <w:t>que existen actualmente para no mejorar las pérdidas comerciales de electricidad y para aumentar la demanda de electricidad en estos barrios.</w:t>
      </w:r>
    </w:p>
    <w:p>
      <w:pPr>
        <w:pStyle w:val="BodyText"/>
        <w:rPr>
          <w:sz w:val="28"/>
        </w:rPr>
      </w:pPr>
    </w:p>
    <w:p>
      <w:pPr>
        <w:pStyle w:val="Heading5"/>
        <w:numPr>
          <w:ilvl w:val="2"/>
          <w:numId w:val="17"/>
        </w:numPr>
        <w:tabs>
          <w:tab w:pos="1319" w:val="left" w:leader="none"/>
          <w:tab w:pos="1320" w:val="left" w:leader="none"/>
        </w:tabs>
        <w:spacing w:line="240" w:lineRule="auto" w:before="219" w:after="0"/>
        <w:ind w:left="1319" w:right="0" w:hanging="1081"/>
        <w:jc w:val="left"/>
      </w:pPr>
      <w:r>
        <w:rPr/>
        <w:t>Estrategia de expansión de</w:t>
      </w:r>
      <w:r>
        <w:rPr>
          <w:spacing w:val="-7"/>
        </w:rPr>
        <w:t> </w:t>
      </w:r>
      <w:r>
        <w:rPr/>
        <w:t>generación</w:t>
      </w:r>
      <w:r>
        <w:rPr>
          <w:vertAlign w:val="superscript"/>
        </w:rPr>
        <w:t>19</w:t>
      </w:r>
    </w:p>
    <w:p>
      <w:pPr>
        <w:pStyle w:val="BodyText"/>
        <w:spacing w:before="276"/>
        <w:ind w:left="240" w:right="1053"/>
        <w:jc w:val="both"/>
      </w:pPr>
      <w:r>
        <w:rPr/>
        <w:t>En el plan de expansión se incluyeron como fijos los proyectos hidroeléctricos que están en construcción (repotenciación de Hatillo y Palomino), los que están el operación reciente (Pinalito) y los proyectos sobre los cuales ya se ha anunciado la decisión de construirlos (la conversión de la central térmica de San Pedro Macorís (CESPM) de gasoil a gas natural, la central hidroeléctrica Las Placetas y los proyectos termoeléctricos a carbón de Pepillo Salcedo y Hatillo Azua).</w:t>
      </w:r>
    </w:p>
    <w:p>
      <w:pPr>
        <w:pStyle w:val="BodyText"/>
      </w:pPr>
    </w:p>
    <w:p>
      <w:pPr>
        <w:pStyle w:val="BodyText"/>
        <w:spacing w:before="1"/>
        <w:ind w:left="240" w:right="1053"/>
        <w:jc w:val="both"/>
      </w:pPr>
      <w:r>
        <w:rPr/>
        <w:t>Los costos nivelados de los proyectos candidatos, para el caso de precio medio de combustibles, muestran que las plantas térmicas a carbón tienen los menores costos de generación operando como plantas de base (a niveles de 57 US$/MWh), por debajo de los costos variables de los motores diesel de mediana velocidad que queman bunker C (niveles de 71 US$/MWh) y muy cercanos a los costos variables de los ciclos combinado que operan a gas natural (56.5 US$/MWh). La mayoría de los proyectos hidroeléctricos candidatos tiene costos de inversión superiores a 2,500 US$/KW, costos nivelados superiores a 120 US$/MWh, y factores de planta menores a 40%. Por otra parte, los proyectos eólicos candidatos tienen costos de inversión entre 1,500 y 1,800 US$/KW (dependiendo de la distancia a la red) y costos nivelados de generación entre 78 y 89 US$/MWh, calculados a una tasa anual de descuento de 12%. Por lo tanto, estos indicadores muestran que en principio se justificaría instalar plantas a carbón para desplazar la generación de motores diesel y que las plantas hidroeléctricas probablemente sólo tendrían espacio para atender necesidades de pico.</w:t>
      </w:r>
    </w:p>
    <w:p>
      <w:pPr>
        <w:pStyle w:val="BodyText"/>
        <w:spacing w:before="11"/>
        <w:rPr>
          <w:sz w:val="22"/>
        </w:rPr>
      </w:pPr>
    </w:p>
    <w:p>
      <w:pPr>
        <w:pStyle w:val="BodyText"/>
        <w:ind w:left="240" w:right="1054"/>
        <w:jc w:val="both"/>
      </w:pPr>
      <w:r>
        <w:rPr/>
        <w:t>En el escenario de precios altos de los combustibles, muy pertinente dadas las actuales tendencias del precio del petróleo, el costo nivelado de las plantas a carbón es mucho más bajo que el costo variable de los MDMV y las CCGT, por lo cual se justificaría instalar nuevas plantas a carbón para desplazar la generación térmica existente con derivados de petróleo y gas natural.</w:t>
      </w:r>
    </w:p>
    <w:p>
      <w:pPr>
        <w:pStyle w:val="BodyText"/>
      </w:pPr>
    </w:p>
    <w:p>
      <w:pPr>
        <w:pStyle w:val="BodyText"/>
        <w:ind w:left="240" w:right="1054"/>
        <w:jc w:val="both"/>
      </w:pPr>
      <w:r>
        <w:rPr/>
        <w:t>Los resultados del análisis del plan de expansión de generación para el escenario medio de demanda y de precio de combustibles muestran que, la ampliación de la capacidad instalada se justifica principalmente para desplazar en el despacho económico la generación de las plantas térmicas existentes con costos variables más altos. Los costos nivelados de las nuevas plantas a carbón son menores que los costos variables de las plantas térmicas actuales que utilizan combustibles líquidos y ligeramente mayores a los costos variables de las</w:t>
      </w:r>
      <w:r>
        <w:rPr>
          <w:spacing w:val="20"/>
        </w:rPr>
        <w:t> </w:t>
      </w:r>
      <w:r>
        <w:rPr/>
        <w:t>plantas</w:t>
      </w:r>
      <w:r>
        <w:rPr>
          <w:spacing w:val="21"/>
        </w:rPr>
        <w:t> </w:t>
      </w:r>
      <w:r>
        <w:rPr/>
        <w:t>a</w:t>
      </w:r>
      <w:r>
        <w:rPr>
          <w:spacing w:val="19"/>
        </w:rPr>
        <w:t> </w:t>
      </w:r>
      <w:r>
        <w:rPr/>
        <w:t>gas</w:t>
      </w:r>
      <w:r>
        <w:rPr>
          <w:spacing w:val="21"/>
        </w:rPr>
        <w:t> </w:t>
      </w:r>
      <w:r>
        <w:rPr/>
        <w:t>natural.</w:t>
      </w:r>
      <w:r>
        <w:rPr>
          <w:spacing w:val="20"/>
        </w:rPr>
        <w:t> </w:t>
      </w:r>
      <w:r>
        <w:rPr/>
        <w:t>Para</w:t>
      </w:r>
      <w:r>
        <w:rPr>
          <w:spacing w:val="20"/>
        </w:rPr>
        <w:t> </w:t>
      </w:r>
      <w:r>
        <w:rPr/>
        <w:t>un</w:t>
      </w:r>
      <w:r>
        <w:rPr>
          <w:spacing w:val="21"/>
        </w:rPr>
        <w:t> </w:t>
      </w:r>
      <w:r>
        <w:rPr/>
        <w:t>incremento</w:t>
      </w:r>
      <w:r>
        <w:rPr>
          <w:spacing w:val="18"/>
        </w:rPr>
        <w:t> </w:t>
      </w:r>
      <w:r>
        <w:rPr/>
        <w:t>de</w:t>
      </w:r>
      <w:r>
        <w:rPr>
          <w:spacing w:val="21"/>
        </w:rPr>
        <w:t> </w:t>
      </w:r>
      <w:r>
        <w:rPr/>
        <w:t>demanda</w:t>
      </w:r>
      <w:r>
        <w:rPr>
          <w:spacing w:val="20"/>
        </w:rPr>
        <w:t> </w:t>
      </w:r>
      <w:r>
        <w:rPr/>
        <w:t>máxima</w:t>
      </w:r>
      <w:r>
        <w:rPr>
          <w:spacing w:val="16"/>
        </w:rPr>
        <w:t> </w:t>
      </w:r>
      <w:r>
        <w:rPr/>
        <w:t>para</w:t>
      </w:r>
      <w:r>
        <w:rPr>
          <w:spacing w:val="20"/>
        </w:rPr>
        <w:t> </w:t>
      </w:r>
      <w:r>
        <w:rPr/>
        <w:t>el</w:t>
      </w:r>
      <w:r>
        <w:rPr>
          <w:spacing w:val="21"/>
        </w:rPr>
        <w:t> </w:t>
      </w:r>
      <w:r>
        <w:rPr/>
        <w:t>periodo</w:t>
      </w:r>
      <w:r>
        <w:rPr>
          <w:spacing w:val="19"/>
        </w:rPr>
        <w:t> </w:t>
      </w:r>
      <w:r>
        <w:rPr/>
        <w:t>2007-</w:t>
      </w:r>
    </w:p>
    <w:p>
      <w:pPr>
        <w:pStyle w:val="BodyText"/>
        <w:spacing w:before="9"/>
        <w:rPr>
          <w:sz w:val="10"/>
        </w:rPr>
      </w:pPr>
      <w:r>
        <w:rPr/>
        <w:pict>
          <v:rect style="position:absolute;margin-left:72pt;margin-top:8.450612pt;width:143.999997pt;height:.72pt;mso-position-horizontal-relative:page;mso-position-vertical-relative:paragraph;z-index:-15676416;mso-wrap-distance-left:0;mso-wrap-distance-right:0" filled="true" fillcolor="#000000" stroked="false">
            <v:fill type="solid"/>
            <w10:wrap type="topAndBottom"/>
          </v:rect>
        </w:pict>
      </w:r>
    </w:p>
    <w:p>
      <w:pPr>
        <w:pStyle w:val="ListParagraph"/>
        <w:numPr>
          <w:ilvl w:val="0"/>
          <w:numId w:val="43"/>
        </w:numPr>
        <w:tabs>
          <w:tab w:pos="492" w:val="left" w:leader="none"/>
        </w:tabs>
        <w:spacing w:line="240" w:lineRule="auto" w:before="58" w:after="0"/>
        <w:ind w:left="491" w:right="0" w:hanging="253"/>
        <w:jc w:val="both"/>
        <w:rPr>
          <w:rFonts w:ascii="Verdana" w:hAnsi="Verdana"/>
          <w:sz w:val="20"/>
        </w:rPr>
      </w:pPr>
      <w:r>
        <w:rPr>
          <w:rFonts w:ascii="Verdana" w:hAnsi="Verdana"/>
          <w:sz w:val="20"/>
        </w:rPr>
        <w:t>La</w:t>
      </w:r>
      <w:r>
        <w:rPr>
          <w:rFonts w:ascii="Verdana" w:hAnsi="Verdana"/>
          <w:spacing w:val="17"/>
          <w:sz w:val="20"/>
        </w:rPr>
        <w:t> </w:t>
      </w:r>
      <w:r>
        <w:rPr>
          <w:rFonts w:ascii="Verdana" w:hAnsi="Verdana"/>
          <w:sz w:val="20"/>
        </w:rPr>
        <w:t>información,</w:t>
      </w:r>
      <w:r>
        <w:rPr>
          <w:rFonts w:ascii="Verdana" w:hAnsi="Verdana"/>
          <w:spacing w:val="16"/>
          <w:sz w:val="20"/>
        </w:rPr>
        <w:t> </w:t>
      </w:r>
      <w:r>
        <w:rPr>
          <w:rFonts w:ascii="Verdana" w:hAnsi="Verdana"/>
          <w:sz w:val="20"/>
        </w:rPr>
        <w:t>análisis</w:t>
      </w:r>
      <w:r>
        <w:rPr>
          <w:rFonts w:ascii="Verdana" w:hAnsi="Verdana"/>
          <w:spacing w:val="16"/>
          <w:sz w:val="20"/>
        </w:rPr>
        <w:t> </w:t>
      </w:r>
      <w:r>
        <w:rPr>
          <w:rFonts w:ascii="Verdana" w:hAnsi="Verdana"/>
          <w:sz w:val="20"/>
        </w:rPr>
        <w:t>y</w:t>
      </w:r>
      <w:r>
        <w:rPr>
          <w:rFonts w:ascii="Verdana" w:hAnsi="Verdana"/>
          <w:spacing w:val="16"/>
          <w:sz w:val="20"/>
        </w:rPr>
        <w:t> </w:t>
      </w:r>
      <w:r>
        <w:rPr>
          <w:rFonts w:ascii="Verdana" w:hAnsi="Verdana"/>
          <w:sz w:val="20"/>
        </w:rPr>
        <w:t>lineamientos</w:t>
      </w:r>
      <w:r>
        <w:rPr>
          <w:rFonts w:ascii="Verdana" w:hAnsi="Verdana"/>
          <w:spacing w:val="16"/>
          <w:sz w:val="20"/>
        </w:rPr>
        <w:t> </w:t>
      </w:r>
      <w:r>
        <w:rPr>
          <w:rFonts w:ascii="Verdana" w:hAnsi="Verdana"/>
          <w:sz w:val="20"/>
        </w:rPr>
        <w:t>estratégicos</w:t>
      </w:r>
      <w:r>
        <w:rPr>
          <w:rFonts w:ascii="Verdana" w:hAnsi="Verdana"/>
          <w:spacing w:val="18"/>
          <w:sz w:val="20"/>
        </w:rPr>
        <w:t> </w:t>
      </w:r>
      <w:r>
        <w:rPr>
          <w:rFonts w:ascii="Verdana" w:hAnsi="Verdana"/>
          <w:sz w:val="20"/>
        </w:rPr>
        <w:t>están</w:t>
      </w:r>
      <w:r>
        <w:rPr>
          <w:rFonts w:ascii="Verdana" w:hAnsi="Verdana"/>
          <w:spacing w:val="18"/>
          <w:sz w:val="20"/>
        </w:rPr>
        <w:t> </w:t>
      </w:r>
      <w:r>
        <w:rPr>
          <w:rFonts w:ascii="Verdana" w:hAnsi="Verdana"/>
          <w:sz w:val="20"/>
        </w:rPr>
        <w:t>sustentados</w:t>
      </w:r>
      <w:r>
        <w:rPr>
          <w:rFonts w:ascii="Verdana" w:hAnsi="Verdana"/>
          <w:spacing w:val="18"/>
          <w:sz w:val="20"/>
        </w:rPr>
        <w:t> </w:t>
      </w:r>
      <w:r>
        <w:rPr>
          <w:rFonts w:ascii="Verdana" w:hAnsi="Verdana"/>
          <w:sz w:val="20"/>
        </w:rPr>
        <w:t>en</w:t>
      </w:r>
      <w:r>
        <w:rPr>
          <w:rFonts w:ascii="Verdana" w:hAnsi="Verdana"/>
          <w:spacing w:val="18"/>
          <w:sz w:val="20"/>
        </w:rPr>
        <w:t> </w:t>
      </w:r>
      <w:r>
        <w:rPr>
          <w:rFonts w:ascii="Verdana" w:hAnsi="Verdana"/>
          <w:sz w:val="20"/>
        </w:rPr>
        <w:t>el</w:t>
      </w:r>
      <w:r>
        <w:rPr>
          <w:rFonts w:ascii="Verdana" w:hAnsi="Verdana"/>
          <w:spacing w:val="19"/>
          <w:sz w:val="20"/>
        </w:rPr>
        <w:t> </w:t>
      </w:r>
      <w:r>
        <w:rPr>
          <w:rFonts w:ascii="Verdana" w:hAnsi="Verdana"/>
          <w:sz w:val="20"/>
        </w:rPr>
        <w:t>documento:</w:t>
      </w:r>
    </w:p>
    <w:p>
      <w:pPr>
        <w:spacing w:line="241" w:lineRule="exact" w:before="12"/>
        <w:ind w:left="239" w:right="0" w:firstLine="0"/>
        <w:jc w:val="both"/>
        <w:rPr>
          <w:rFonts w:ascii="Verdana" w:hAnsi="Verdana"/>
          <w:b/>
          <w:sz w:val="20"/>
        </w:rPr>
      </w:pPr>
      <w:r>
        <w:rPr>
          <w:rFonts w:ascii="Verdana" w:hAnsi="Verdana"/>
          <w:b/>
          <w:sz w:val="20"/>
        </w:rPr>
        <w:t>DIAGNÓSTICO Y DEFINICIÓN DE LÍNEAS ESTRATÉGICAS DEL</w:t>
      </w:r>
      <w:r>
        <w:rPr>
          <w:rFonts w:ascii="Verdana" w:hAnsi="Verdana"/>
          <w:b/>
          <w:spacing w:val="57"/>
          <w:sz w:val="20"/>
        </w:rPr>
        <w:t> </w:t>
      </w:r>
      <w:r>
        <w:rPr>
          <w:rFonts w:ascii="Verdana" w:hAnsi="Verdana"/>
          <w:b/>
          <w:sz w:val="20"/>
        </w:rPr>
        <w:t>SUB-SECTOR</w:t>
      </w:r>
    </w:p>
    <w:p>
      <w:pPr>
        <w:spacing w:line="276" w:lineRule="exact" w:before="0"/>
        <w:ind w:left="239" w:right="0" w:firstLine="0"/>
        <w:jc w:val="both"/>
        <w:rPr>
          <w:sz w:val="23"/>
        </w:rPr>
      </w:pPr>
      <w:r>
        <w:rPr>
          <w:rFonts w:ascii="Verdana" w:hAnsi="Verdana"/>
          <w:b/>
          <w:sz w:val="20"/>
        </w:rPr>
        <w:t>ELÉCTRICO</w:t>
      </w:r>
      <w:r>
        <w:rPr>
          <w:rFonts w:ascii="Verdana" w:hAnsi="Verdana"/>
          <w:sz w:val="20"/>
        </w:rPr>
        <w:t>, Manuel Ignacio Dussan, Enero de 2008</w:t>
      </w:r>
      <w:r>
        <w:rPr>
          <w:sz w:val="23"/>
        </w:rPr>
        <w:t>.</w:t>
      </w:r>
    </w:p>
    <w:p>
      <w:pPr>
        <w:spacing w:after="0" w:line="276" w:lineRule="exact"/>
        <w:jc w:val="both"/>
        <w:rPr>
          <w:sz w:val="23"/>
        </w:rPr>
        <w:sectPr>
          <w:pgSz w:w="12240" w:h="15840"/>
          <w:pgMar w:header="718" w:footer="954" w:top="1360" w:bottom="1140" w:left="1200" w:right="380"/>
        </w:sectPr>
      </w:pPr>
    </w:p>
    <w:p>
      <w:pPr>
        <w:pStyle w:val="BodyText"/>
        <w:spacing w:before="4"/>
        <w:rPr>
          <w:sz w:val="11"/>
        </w:rPr>
      </w:pPr>
    </w:p>
    <w:p>
      <w:pPr>
        <w:pStyle w:val="BodyText"/>
        <w:spacing w:before="101"/>
        <w:ind w:left="239" w:right="1060"/>
        <w:jc w:val="both"/>
      </w:pPr>
      <w:r>
        <w:rPr/>
        <w:t>2021 de aproximadamente 2,400 MW, se instala una capacidad adicional entre 3,400 y 3,800 MW en la mayoría de los casos, excepto el caso gas, en que se instalan 2,650 MW.</w:t>
      </w:r>
    </w:p>
    <w:p>
      <w:pPr>
        <w:pStyle w:val="BodyText"/>
      </w:pPr>
    </w:p>
    <w:p>
      <w:pPr>
        <w:pStyle w:val="BodyText"/>
        <w:ind w:left="239" w:right="1054"/>
        <w:jc w:val="both"/>
      </w:pPr>
      <w:r>
        <w:rPr/>
        <w:t>Los resultados también muestran que la solución de mínimo costo es un plan de expansión básicamente con plantas a carbón (3,000 MW vs. 680 MW en energía renovable que se adicionan como plantas fijas). Adicionalmente, se observa que con los parámetros utilizados en la simulación existen varias soluciones de secuencias de expansión con un valor presente de costos de expansión prácticamente igual, lo cual indica que la adición de plantas a carbón adicionales después del 2012 tiene un beneficio neto positivo, pero muy pequeño. La adición de una capacidad de aproximadamente 600 MW de generación a carbón en el 2012, adicional a las dos unidades de Pepillo Salcedo, constituye una estrategia robusta, pues minimiza el máximo arrepentimiento para los dos escenarios de crecimiento de demanda considerados. Sin embargo, la decisión de desarrollar la planta a carbón de Hatillo Azua en 2011 con una capacidad de 610 MW y la Central Hidroeléctrica de Las Placetas en 2012 con una capacidad de 87 MW, representa un sobrecosto significativo sobre el plan de expansión de mínimo costo en que no se impone el desarrollo de estas centrales, lo cual se explica por el hecho que se está desarrollando una central hidroeléctrica con costos nivelados bastante mayores a los de una planta a</w:t>
      </w:r>
      <w:r>
        <w:rPr>
          <w:spacing w:val="-18"/>
        </w:rPr>
        <w:t> </w:t>
      </w:r>
      <w:r>
        <w:rPr/>
        <w:t>carbón.</w:t>
      </w:r>
    </w:p>
    <w:p>
      <w:pPr>
        <w:pStyle w:val="BodyText"/>
      </w:pPr>
    </w:p>
    <w:p>
      <w:pPr>
        <w:pStyle w:val="BodyText"/>
        <w:ind w:left="239" w:right="1055"/>
        <w:jc w:val="both"/>
      </w:pPr>
      <w:r>
        <w:rPr/>
        <w:t>Por otra parte, la expansión a carbón sin tener en cuenta las externalidades (impacto ambiental) representa la solución de mínimo costo aun en el caso en que los costos de inversión de las plantas a carbón aumenten un 40%, esto es, a niveles de aproximadamente 2,100 US$/KW instalado. Este porcentaje es, en principio, un margen suficiente para cubrir los costos de los equipos requeridos para cumplir con las normas internacionales sobre la contaminación del aire por emisión de SO</w:t>
      </w:r>
      <w:r>
        <w:rPr>
          <w:vertAlign w:val="subscript"/>
        </w:rPr>
        <w:t>2</w:t>
      </w:r>
      <w:r>
        <w:rPr>
          <w:vertAlign w:val="baseline"/>
        </w:rPr>
        <w:t>, NO</w:t>
      </w:r>
      <w:r>
        <w:rPr>
          <w:vertAlign w:val="subscript"/>
        </w:rPr>
        <w:t>X</w:t>
      </w:r>
      <w:r>
        <w:rPr>
          <w:vertAlign w:val="baseline"/>
        </w:rPr>
        <w:t> y PM10 y los posibles sobrecostos de adecuación de puertos y conexión de las centrales al sistema interconectado nacional. Sin embargo, la diferencia en el costo de expansión respecto a la opción de energía limpia es pequeña y si se tiene en cuenta el impacto ambiental, la opción de energía limpia sería más</w:t>
      </w:r>
      <w:r>
        <w:rPr>
          <w:spacing w:val="-3"/>
          <w:vertAlign w:val="baseline"/>
        </w:rPr>
        <w:t> </w:t>
      </w:r>
      <w:r>
        <w:rPr>
          <w:vertAlign w:val="baseline"/>
        </w:rPr>
        <w:t>conveniente.</w:t>
      </w:r>
    </w:p>
    <w:p>
      <w:pPr>
        <w:pStyle w:val="BodyText"/>
        <w:spacing w:before="2"/>
      </w:pPr>
    </w:p>
    <w:p>
      <w:pPr>
        <w:pStyle w:val="BodyText"/>
        <w:ind w:left="240" w:right="1055"/>
        <w:jc w:val="both"/>
      </w:pPr>
      <w:r>
        <w:rPr/>
        <w:t>Los proyectos hidroeléctricos incluidos en el plan de expansión de EGEHID, evaluados a los costos de inversión reportados por esa empresa no serían competitivos en el plan de expansión de generación, ni podrían recuperar sus costos de inversión con ventas de energía a los costos marginales en el mercado spot.</w:t>
      </w:r>
    </w:p>
    <w:p>
      <w:pPr>
        <w:pStyle w:val="BodyText"/>
        <w:spacing w:before="11"/>
        <w:rPr>
          <w:sz w:val="22"/>
        </w:rPr>
      </w:pPr>
    </w:p>
    <w:p>
      <w:pPr>
        <w:pStyle w:val="BodyText"/>
        <w:ind w:left="239" w:right="1054"/>
        <w:jc w:val="both"/>
      </w:pPr>
      <w:r>
        <w:rPr/>
        <w:t>El plan de expansión basado en energía limpia, con proyectos amigables con el medio ambiente, adicionales a los proyectos eólicos e hidroeléctricos considerados en todos los casos analizados, incluye básicamente plantas térmicas de ciclo combinado operando con gas natural, las cuales tiene un costo nivelado de aproximadamente 70 US$/MWh, en el escenario de precio medio de los combustibles. Este plan tiene un costo de desarrollo 7% mayor que el caso base (sin evaluar el costo de las externalidades) y solamente se podría justificar desde el punto de vista económico si los costos de inversión de las plantas a carbón aumentan por encima del 40%.</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4"/>
        <w:jc w:val="both"/>
      </w:pPr>
      <w:r>
        <w:rPr/>
        <w:t>Como resultado de las consideraciones anteriores, se concluye que la estrategia de expansión de generación basada fundamentalmente en el desarrollo acelerado de plantas térmicas a carbón para sustituir la generación de las plantas térmicas existentes no es recomendable por varias razones. Se crea una alta dependencia de la generación eléctrica al carbón, lo cual no contribuye a la diversificación de las fuentes de energía y genera riesgos apreciables en el caso de cambios desfavorables en el precio relativo del carbón en el mercado internacional de combustibles, pues no se materializarían los beneficios económicos de la sustitución acelerada de la generación de las plantas térmicas existentes. Se aumentan sustancialmente las emisiones de gases efecto invernadero. Se aumenta sustancialmente el monto de inversión en proyectos de generación intensivos en capital con un mayor riesgo de desarrollo, lo cual dificulta el financiamiento</w:t>
      </w:r>
      <w:r>
        <w:rPr>
          <w:spacing w:val="-14"/>
        </w:rPr>
        <w:t> </w:t>
      </w:r>
      <w:r>
        <w:rPr/>
        <w:t>privado.</w:t>
      </w:r>
    </w:p>
    <w:p>
      <w:pPr>
        <w:pStyle w:val="BodyText"/>
        <w:spacing w:before="2"/>
      </w:pPr>
    </w:p>
    <w:p>
      <w:pPr>
        <w:pStyle w:val="BodyText"/>
        <w:ind w:left="239" w:right="1054"/>
        <w:jc w:val="both"/>
      </w:pPr>
      <w:r>
        <w:rPr/>
        <w:t>Las plantas a carbón de Pepillo Salcedo y Hatillo Azua se pueden complementar con el desarrollo de generación a base de energía limpia. Se puede promover el desarrollo de los recursos renovables más económicos con los incentivos tributarios y de precio contemplados en las leyes vigentes, y promover la sustitución de gasoil por gas natural licuado en las plantas más eficientes, como parte de una política de masificación del uso de gas natural en la industria, lo cual ayuda a reducir el consumo de combustibles líquidos más contaminantes y posiblemente más costosos. Posiblemente el mejor estímulo al desarrollo de energía limpia es la aplicación de políticas estrictas sobre protección al medio ambiente para el desarrollo de plantas de generación, que obliguen a internalizar los costos del impacto ambiental de las plantas a carbón (inversiones y gastos de operación adicionales asociados con tecnologías de carbón</w:t>
      </w:r>
      <w:r>
        <w:rPr>
          <w:spacing w:val="1"/>
        </w:rPr>
        <w:t> </w:t>
      </w:r>
      <w:r>
        <w:rPr/>
        <w:t>limpio).</w:t>
      </w:r>
    </w:p>
    <w:p>
      <w:pPr>
        <w:pStyle w:val="BodyText"/>
        <w:rPr>
          <w:sz w:val="28"/>
        </w:rPr>
      </w:pPr>
    </w:p>
    <w:p>
      <w:pPr>
        <w:pStyle w:val="Heading2"/>
        <w:numPr>
          <w:ilvl w:val="1"/>
          <w:numId w:val="17"/>
        </w:numPr>
        <w:tabs>
          <w:tab w:pos="947" w:val="left" w:leader="none"/>
          <w:tab w:pos="948" w:val="left" w:leader="none"/>
          <w:tab w:pos="2694" w:val="left" w:leader="none"/>
          <w:tab w:pos="5584" w:val="left" w:leader="none"/>
          <w:tab w:pos="6801" w:val="left" w:leader="none"/>
          <w:tab w:pos="9203" w:val="left" w:leader="none"/>
        </w:tabs>
        <w:spacing w:line="240" w:lineRule="auto" w:before="215" w:after="0"/>
        <w:ind w:left="947" w:right="1061" w:hanging="708"/>
        <w:jc w:val="left"/>
      </w:pPr>
      <w:r>
        <w:rPr/>
        <w:t>LÍNEAS</w:t>
        <w:tab/>
        <w:t>ESTRATÉGICAS</w:t>
        <w:tab/>
        <w:t>DEL</w:t>
        <w:tab/>
        <w:t>SUBSECTOR</w:t>
        <w:tab/>
      </w:r>
      <w:r>
        <w:rPr>
          <w:spacing w:val="-9"/>
        </w:rPr>
        <w:t>DE </w:t>
      </w:r>
      <w:r>
        <w:rPr/>
        <w:t>HIDROCARBUROS</w:t>
      </w:r>
      <w:r>
        <w:rPr>
          <w:vertAlign w:val="superscript"/>
        </w:rPr>
        <w:t>20</w:t>
      </w:r>
    </w:p>
    <w:p>
      <w:pPr>
        <w:pStyle w:val="BodyText"/>
        <w:spacing w:before="278"/>
        <w:ind w:left="240" w:right="1054"/>
        <w:jc w:val="both"/>
      </w:pPr>
      <w:r>
        <w:rPr/>
        <w:t>La política de hidrocarburos debe ser conformada por los lineamientos de cada eslabón de la cadena (importación, refinación, almacenamiento y distribución), orientados al logro de los objetivos estratégicos del sector de disminuir el costo de la energía y construir una infraestructura energética más segura y confiable. Cada eslabón de la cadena comporta unos lineamientos específicos a su función dentro del proceso de abastecimiento de hidrocarburos.</w:t>
      </w:r>
    </w:p>
    <w:p>
      <w:pPr>
        <w:pStyle w:val="BodyText"/>
        <w:spacing w:before="1"/>
      </w:pPr>
    </w:p>
    <w:p>
      <w:pPr>
        <w:pStyle w:val="BodyText"/>
        <w:ind w:left="240" w:right="1053"/>
        <w:jc w:val="both"/>
      </w:pPr>
      <w:r>
        <w:rPr/>
        <w:t>El abastecimiento de hidrocarburos de la República Dominicana es de procedencia importada en el caso del crudo, del gas natural y de la mayoría de los derivados del petróleo y está fuertemente relacionado con el comportamiento del mercado mundial; la ubicación del país en el Caribe es ampliamente favorable para el logro de un buen y diversificado</w:t>
      </w:r>
      <w:r>
        <w:rPr>
          <w:spacing w:val="-1"/>
        </w:rPr>
        <w:t> </w:t>
      </w:r>
      <w:r>
        <w:rPr/>
        <w:t>aprovisionamiento.</w:t>
      </w:r>
    </w:p>
    <w:p>
      <w:pPr>
        <w:pStyle w:val="BodyText"/>
        <w:rPr>
          <w:sz w:val="20"/>
        </w:rPr>
      </w:pPr>
    </w:p>
    <w:p>
      <w:pPr>
        <w:pStyle w:val="BodyText"/>
        <w:rPr>
          <w:sz w:val="20"/>
        </w:rPr>
      </w:pPr>
    </w:p>
    <w:p>
      <w:pPr>
        <w:pStyle w:val="BodyText"/>
        <w:spacing w:before="4"/>
        <w:rPr>
          <w:sz w:val="15"/>
        </w:rPr>
      </w:pPr>
      <w:r>
        <w:rPr/>
        <w:pict>
          <v:rect style="position:absolute;margin-left:72pt;margin-top:11.203541pt;width:143.999997pt;height:.72pt;mso-position-horizontal-relative:page;mso-position-vertical-relative:paragraph;z-index:-15675904;mso-wrap-distance-left:0;mso-wrap-distance-right:0" filled="true" fillcolor="#000000" stroked="false">
            <v:fill type="solid"/>
            <w10:wrap type="topAndBottom"/>
          </v:rect>
        </w:pict>
      </w:r>
    </w:p>
    <w:p>
      <w:pPr>
        <w:spacing w:before="91"/>
        <w:ind w:left="239" w:right="1057" w:hanging="1"/>
        <w:jc w:val="both"/>
        <w:rPr>
          <w:rFonts w:ascii="Verdana" w:hAnsi="Verdana"/>
          <w:sz w:val="20"/>
        </w:rPr>
      </w:pPr>
      <w:r>
        <w:rPr>
          <w:rFonts w:ascii="Verdana" w:hAnsi="Verdana"/>
          <w:sz w:val="20"/>
          <w:vertAlign w:val="superscript"/>
        </w:rPr>
        <w:t>20</w:t>
      </w:r>
      <w:r>
        <w:rPr>
          <w:rFonts w:ascii="Verdana" w:hAnsi="Verdana"/>
          <w:sz w:val="20"/>
          <w:vertAlign w:val="baseline"/>
        </w:rPr>
        <w:t> La información, análisis y lineamientos estratégicos están sustentados en el documento: </w:t>
      </w:r>
      <w:r>
        <w:rPr>
          <w:rFonts w:ascii="Verdana" w:hAnsi="Verdana"/>
          <w:b/>
          <w:sz w:val="20"/>
          <w:vertAlign w:val="baseline"/>
        </w:rPr>
        <w:t>DIAGNÓSTICO SECTOR HIDROCARBUROS</w:t>
      </w:r>
      <w:r>
        <w:rPr>
          <w:rFonts w:ascii="Verdana" w:hAnsi="Verdana"/>
          <w:sz w:val="20"/>
          <w:vertAlign w:val="baseline"/>
        </w:rPr>
        <w:t>, Jorge E. Lapeña, Enero de 2008. Este documento se incluye como anexo.</w:t>
      </w:r>
    </w:p>
    <w:p>
      <w:pPr>
        <w:spacing w:after="0"/>
        <w:jc w:val="both"/>
        <w:rPr>
          <w:rFonts w:ascii="Verdana" w:hAnsi="Verdana"/>
          <w:sz w:val="20"/>
        </w:rPr>
        <w:sectPr>
          <w:pgSz w:w="12240" w:h="15840"/>
          <w:pgMar w:header="718" w:footer="954" w:top="1360" w:bottom="1140" w:left="1200" w:right="380"/>
        </w:sectPr>
      </w:pPr>
    </w:p>
    <w:p>
      <w:pPr>
        <w:pStyle w:val="BodyText"/>
        <w:spacing w:before="3"/>
        <w:rPr>
          <w:rFonts w:ascii="Verdana"/>
          <w:sz w:val="11"/>
        </w:rPr>
      </w:pPr>
    </w:p>
    <w:p>
      <w:pPr>
        <w:pStyle w:val="BodyText"/>
        <w:spacing w:before="101"/>
        <w:ind w:left="239" w:right="1055"/>
        <w:jc w:val="both"/>
      </w:pPr>
      <w:r>
        <w:rPr/>
        <w:t>Los crudos importados a la República Dominicana son de dos tipos: petróleo crudo en estado natural y petróleo reconstituido. Del total de las importaciones para el 2006, el 34% corresponde al renglón de crudos. Los suplidores más destacados son Venezuela (29%), Colombia (14%), los Estados Unidos (9%) y Méjico (4%). Para ese año las importaciones totales fueron de 46.7 millones de barriles equivalentes, por un valor de US$ 2,700 millones.</w:t>
      </w:r>
    </w:p>
    <w:p>
      <w:pPr>
        <w:pStyle w:val="BodyText"/>
      </w:pPr>
    </w:p>
    <w:p>
      <w:pPr>
        <w:pStyle w:val="BodyText"/>
        <w:spacing w:before="1"/>
        <w:ind w:left="239" w:right="1055"/>
        <w:jc w:val="both"/>
      </w:pPr>
      <w:r>
        <w:rPr/>
        <w:t>Los suplidores de derivados de los que con mayor frecuencia se importa son: México (41.5%), Venezuela (29.3%) y Colombia (13.9%):</w:t>
      </w:r>
    </w:p>
    <w:p>
      <w:pPr>
        <w:pStyle w:val="BodyText"/>
        <w:spacing w:before="1"/>
      </w:pPr>
    </w:p>
    <w:p>
      <w:pPr>
        <w:pStyle w:val="ListParagraph"/>
        <w:numPr>
          <w:ilvl w:val="1"/>
          <w:numId w:val="43"/>
        </w:numPr>
        <w:tabs>
          <w:tab w:pos="959" w:val="left" w:leader="none"/>
          <w:tab w:pos="960" w:val="left" w:leader="none"/>
        </w:tabs>
        <w:spacing w:line="240" w:lineRule="auto" w:before="0" w:after="0"/>
        <w:ind w:left="960" w:right="0" w:hanging="361"/>
        <w:jc w:val="left"/>
        <w:rPr>
          <w:sz w:val="23"/>
        </w:rPr>
      </w:pPr>
      <w:r>
        <w:rPr>
          <w:sz w:val="23"/>
        </w:rPr>
        <w:t>El mayor suplidor de GLP es Trinidad &amp; Tobago con cerca del 60% del</w:t>
      </w:r>
      <w:r>
        <w:rPr>
          <w:spacing w:val="-8"/>
          <w:sz w:val="23"/>
        </w:rPr>
        <w:t> </w:t>
      </w:r>
      <w:r>
        <w:rPr>
          <w:sz w:val="23"/>
        </w:rPr>
        <w:t>total.</w:t>
      </w:r>
    </w:p>
    <w:p>
      <w:pPr>
        <w:pStyle w:val="BodyText"/>
        <w:spacing w:before="9"/>
        <w:rPr>
          <w:sz w:val="22"/>
        </w:rPr>
      </w:pPr>
    </w:p>
    <w:p>
      <w:pPr>
        <w:pStyle w:val="ListParagraph"/>
        <w:numPr>
          <w:ilvl w:val="1"/>
          <w:numId w:val="43"/>
        </w:numPr>
        <w:tabs>
          <w:tab w:pos="959" w:val="left" w:leader="none"/>
          <w:tab w:pos="960" w:val="left" w:leader="none"/>
        </w:tabs>
        <w:spacing w:line="240" w:lineRule="auto" w:before="0" w:after="0"/>
        <w:ind w:left="960" w:right="0" w:hanging="361"/>
        <w:jc w:val="left"/>
        <w:rPr>
          <w:sz w:val="23"/>
        </w:rPr>
      </w:pPr>
      <w:r>
        <w:rPr>
          <w:sz w:val="23"/>
        </w:rPr>
        <w:t>Más del 70% de las gasolinas proceden de Colombia y</w:t>
      </w:r>
      <w:r>
        <w:rPr>
          <w:spacing w:val="-6"/>
          <w:sz w:val="23"/>
        </w:rPr>
        <w:t> </w:t>
      </w:r>
      <w:r>
        <w:rPr>
          <w:sz w:val="23"/>
        </w:rPr>
        <w:t>Venezuela.</w:t>
      </w:r>
    </w:p>
    <w:p>
      <w:pPr>
        <w:pStyle w:val="BodyText"/>
        <w:spacing w:before="10"/>
        <w:rPr>
          <w:sz w:val="22"/>
        </w:rPr>
      </w:pPr>
    </w:p>
    <w:p>
      <w:pPr>
        <w:pStyle w:val="ListParagraph"/>
        <w:numPr>
          <w:ilvl w:val="1"/>
          <w:numId w:val="43"/>
        </w:numPr>
        <w:tabs>
          <w:tab w:pos="959" w:val="left" w:leader="none"/>
          <w:tab w:pos="960" w:val="left" w:leader="none"/>
        </w:tabs>
        <w:spacing w:line="240" w:lineRule="auto" w:before="0" w:after="0"/>
        <w:ind w:left="959" w:right="0" w:hanging="361"/>
        <w:jc w:val="left"/>
        <w:rPr>
          <w:sz w:val="23"/>
        </w:rPr>
      </w:pPr>
      <w:r>
        <w:rPr>
          <w:sz w:val="23"/>
        </w:rPr>
        <w:t>Aproximadamente la mitad del gasoil se importa desde</w:t>
      </w:r>
      <w:r>
        <w:rPr>
          <w:spacing w:val="-4"/>
          <w:sz w:val="23"/>
        </w:rPr>
        <w:t> </w:t>
      </w:r>
      <w:r>
        <w:rPr>
          <w:sz w:val="23"/>
        </w:rPr>
        <w:t>Venezuela.</w:t>
      </w:r>
    </w:p>
    <w:p>
      <w:pPr>
        <w:pStyle w:val="BodyText"/>
        <w:spacing w:before="9"/>
        <w:rPr>
          <w:sz w:val="22"/>
        </w:rPr>
      </w:pPr>
    </w:p>
    <w:p>
      <w:pPr>
        <w:pStyle w:val="ListParagraph"/>
        <w:numPr>
          <w:ilvl w:val="1"/>
          <w:numId w:val="43"/>
        </w:numPr>
        <w:tabs>
          <w:tab w:pos="959" w:val="left" w:leader="none"/>
          <w:tab w:pos="960" w:val="left" w:leader="none"/>
        </w:tabs>
        <w:spacing w:line="240" w:lineRule="auto" w:before="0" w:after="0"/>
        <w:ind w:left="960" w:right="0" w:hanging="361"/>
        <w:jc w:val="left"/>
        <w:rPr>
          <w:sz w:val="23"/>
        </w:rPr>
      </w:pPr>
      <w:r>
        <w:rPr>
          <w:sz w:val="23"/>
        </w:rPr>
        <w:t>El Avtur proviene en su mayoría (48%) de Colombia.</w:t>
      </w:r>
    </w:p>
    <w:p>
      <w:pPr>
        <w:pStyle w:val="BodyText"/>
        <w:spacing w:before="9"/>
        <w:rPr>
          <w:sz w:val="22"/>
        </w:rPr>
      </w:pPr>
    </w:p>
    <w:p>
      <w:pPr>
        <w:pStyle w:val="ListParagraph"/>
        <w:numPr>
          <w:ilvl w:val="1"/>
          <w:numId w:val="43"/>
        </w:numPr>
        <w:tabs>
          <w:tab w:pos="959" w:val="left" w:leader="none"/>
          <w:tab w:pos="960" w:val="left" w:leader="none"/>
        </w:tabs>
        <w:spacing w:line="237" w:lineRule="auto" w:before="1" w:after="0"/>
        <w:ind w:left="959" w:right="1055" w:hanging="360"/>
        <w:jc w:val="left"/>
        <w:rPr>
          <w:sz w:val="23"/>
        </w:rPr>
      </w:pPr>
      <w:r>
        <w:rPr>
          <w:sz w:val="23"/>
        </w:rPr>
        <w:t>Otros suplidores importantes son las Antillas Holandesas y los Estados Unidos en el caso del fuel</w:t>
      </w:r>
      <w:r>
        <w:rPr>
          <w:spacing w:val="-1"/>
          <w:sz w:val="23"/>
        </w:rPr>
        <w:t> </w:t>
      </w:r>
      <w:r>
        <w:rPr>
          <w:sz w:val="23"/>
        </w:rPr>
        <w:t>oil.</w:t>
      </w:r>
    </w:p>
    <w:p>
      <w:pPr>
        <w:pStyle w:val="BodyText"/>
      </w:pPr>
    </w:p>
    <w:p>
      <w:pPr>
        <w:pStyle w:val="BodyText"/>
        <w:ind w:left="239" w:right="1055"/>
        <w:jc w:val="both"/>
      </w:pPr>
      <w:r>
        <w:rPr/>
        <w:t>Según la Ley 112/00, Importador es toda persona jurídica o individual autorizada para ingresar al territorio nacional petróleo y productos derivados. En este renglón se incluyen todas las empresas que importan petróleo crudo, derivados y otros energéticos ya sea para su consumo propio o la comercialización en el mercado. La ley permite que las empresas generadoras privadas de electricidad importen el combustible en forma directa.</w:t>
      </w:r>
    </w:p>
    <w:p>
      <w:pPr>
        <w:pStyle w:val="BodyText"/>
      </w:pPr>
    </w:p>
    <w:p>
      <w:pPr>
        <w:pStyle w:val="BodyText"/>
        <w:ind w:left="239" w:right="1055"/>
        <w:jc w:val="both"/>
      </w:pPr>
      <w:r>
        <w:rPr/>
        <w:t>La Refinería Dominicana de petróleo e s históricamente el mayor importador de crudo y derivados, con el 67% del total, lo que la coloca en una posición totalmente dominante en el mercado. Para el año 2004, la refinería importó 28.59 MBbl y, en orden de importancia, participaron también FALCONDO (4.06 MBbl), los IPP (3.20 MBbl), ESSO-COASTAL (2.67 MBbl), EGP (1.63 MBbl), y EGE-HAINA (1.59</w:t>
      </w:r>
      <w:r>
        <w:rPr>
          <w:spacing w:val="-2"/>
        </w:rPr>
        <w:t> </w:t>
      </w:r>
      <w:r>
        <w:rPr/>
        <w:t>MBbl).</w:t>
      </w:r>
    </w:p>
    <w:p>
      <w:pPr>
        <w:pStyle w:val="BodyText"/>
        <w:spacing w:before="12"/>
        <w:rPr>
          <w:sz w:val="22"/>
        </w:rPr>
      </w:pPr>
    </w:p>
    <w:p>
      <w:pPr>
        <w:pStyle w:val="BodyText"/>
        <w:ind w:left="239" w:right="1054"/>
        <w:jc w:val="both"/>
        <w:rPr>
          <w:sz w:val="22"/>
        </w:rPr>
      </w:pPr>
      <w:r>
        <w:rPr/>
        <w:t>Es importante comentar que importadores de combustibles para generación en el 2004 introdujeron al país un total de 9 millones de barriles. Del total importado para generación eléctrica, el 35% correspondió a los IPP’s (Productores de Energía Independientes Privados). Los energéticos importados para la generación de electricidad son: diesel (12%), fuel oil (86%), gas natural (1.2%) y carbón mineral (0.19%) según datos reportados por el Organismo Coordinador del Sector Eléctrico</w:t>
      </w:r>
      <w:r>
        <w:rPr>
          <w:spacing w:val="-2"/>
        </w:rPr>
        <w:t> </w:t>
      </w:r>
      <w:r>
        <w:rPr/>
        <w:t>(OC</w:t>
      </w:r>
      <w:r>
        <w:rPr>
          <w:sz w:val="22"/>
        </w:rPr>
        <w:t>).</w:t>
      </w:r>
    </w:p>
    <w:p>
      <w:pPr>
        <w:pStyle w:val="BodyText"/>
        <w:spacing w:before="9"/>
        <w:rPr>
          <w:sz w:val="29"/>
        </w:rPr>
      </w:pPr>
    </w:p>
    <w:p>
      <w:pPr>
        <w:pStyle w:val="BodyText"/>
        <w:spacing w:before="1"/>
        <w:ind w:left="239" w:right="1055"/>
        <w:jc w:val="both"/>
      </w:pPr>
      <w:r>
        <w:rPr/>
        <w:t>Para el PEN, los temas fundamentales para desarrollar un abastecimiento confiable de los hidrocarburos son:</w:t>
      </w:r>
    </w:p>
    <w:p>
      <w:pPr>
        <w:pStyle w:val="BodyText"/>
        <w:spacing w:before="5"/>
      </w:pPr>
    </w:p>
    <w:p>
      <w:pPr>
        <w:pStyle w:val="ListParagraph"/>
        <w:numPr>
          <w:ilvl w:val="1"/>
          <w:numId w:val="43"/>
        </w:numPr>
        <w:tabs>
          <w:tab w:pos="959" w:val="left" w:leader="none"/>
          <w:tab w:pos="960" w:val="left" w:leader="none"/>
        </w:tabs>
        <w:spacing w:line="235" w:lineRule="auto" w:before="0" w:after="0"/>
        <w:ind w:left="959" w:right="1056" w:hanging="360"/>
        <w:jc w:val="left"/>
        <w:rPr>
          <w:sz w:val="23"/>
        </w:rPr>
      </w:pPr>
      <w:r>
        <w:rPr>
          <w:sz w:val="23"/>
        </w:rPr>
        <w:t>Incrementar la capacidad de almacenamiento de respaldo y el establecimiento de una reserva estratégica para los combustibles y el</w:t>
      </w:r>
      <w:r>
        <w:rPr>
          <w:spacing w:val="-12"/>
          <w:sz w:val="23"/>
        </w:rPr>
        <w:t> </w:t>
      </w:r>
      <w:r>
        <w:rPr>
          <w:sz w:val="23"/>
        </w:rPr>
        <w:t>crudo.</w:t>
      </w:r>
    </w:p>
    <w:p>
      <w:pPr>
        <w:spacing w:after="0" w:line="235" w:lineRule="auto"/>
        <w:jc w:val="left"/>
        <w:rPr>
          <w:sz w:val="23"/>
        </w:rPr>
        <w:sectPr>
          <w:pgSz w:w="12240" w:h="15840"/>
          <w:pgMar w:header="718" w:footer="954" w:top="1360" w:bottom="1140" w:left="1200" w:right="380"/>
        </w:sectPr>
      </w:pPr>
    </w:p>
    <w:p>
      <w:pPr>
        <w:pStyle w:val="BodyText"/>
        <w:spacing w:before="6"/>
        <w:rPr>
          <w:sz w:val="11"/>
        </w:rPr>
      </w:pPr>
    </w:p>
    <w:p>
      <w:pPr>
        <w:pStyle w:val="ListParagraph"/>
        <w:numPr>
          <w:ilvl w:val="1"/>
          <w:numId w:val="43"/>
        </w:numPr>
        <w:tabs>
          <w:tab w:pos="959" w:val="left" w:leader="none"/>
          <w:tab w:pos="960" w:val="left" w:leader="none"/>
        </w:tabs>
        <w:spacing w:line="281" w:lineRule="exact" w:before="100" w:after="0"/>
        <w:ind w:left="960" w:right="0" w:hanging="361"/>
        <w:jc w:val="left"/>
        <w:rPr>
          <w:sz w:val="23"/>
        </w:rPr>
      </w:pPr>
      <w:r>
        <w:rPr>
          <w:sz w:val="23"/>
        </w:rPr>
        <w:t>Promoción de una refinería de alta</w:t>
      </w:r>
      <w:r>
        <w:rPr>
          <w:spacing w:val="-5"/>
          <w:sz w:val="23"/>
        </w:rPr>
        <w:t> </w:t>
      </w:r>
      <w:r>
        <w:rPr>
          <w:sz w:val="23"/>
        </w:rPr>
        <w:t>conversión.</w:t>
      </w:r>
    </w:p>
    <w:p>
      <w:pPr>
        <w:pStyle w:val="ListParagraph"/>
        <w:numPr>
          <w:ilvl w:val="1"/>
          <w:numId w:val="43"/>
        </w:numPr>
        <w:tabs>
          <w:tab w:pos="959" w:val="left" w:leader="none"/>
          <w:tab w:pos="960" w:val="left" w:leader="none"/>
        </w:tabs>
        <w:spacing w:line="280" w:lineRule="exact" w:before="0" w:after="0"/>
        <w:ind w:left="960" w:right="0" w:hanging="361"/>
        <w:jc w:val="left"/>
        <w:rPr>
          <w:sz w:val="23"/>
        </w:rPr>
      </w:pPr>
      <w:r>
        <w:rPr>
          <w:sz w:val="23"/>
        </w:rPr>
        <w:t>Institucionalizar y regularizar el uso vehicular del</w:t>
      </w:r>
      <w:r>
        <w:rPr>
          <w:spacing w:val="-8"/>
          <w:sz w:val="23"/>
        </w:rPr>
        <w:t> </w:t>
      </w:r>
      <w:r>
        <w:rPr>
          <w:sz w:val="23"/>
        </w:rPr>
        <w:t>GLP.</w:t>
      </w:r>
    </w:p>
    <w:p>
      <w:pPr>
        <w:pStyle w:val="ListParagraph"/>
        <w:numPr>
          <w:ilvl w:val="1"/>
          <w:numId w:val="43"/>
        </w:numPr>
        <w:tabs>
          <w:tab w:pos="959" w:val="left" w:leader="none"/>
          <w:tab w:pos="960" w:val="left" w:leader="none"/>
        </w:tabs>
        <w:spacing w:line="278" w:lineRule="exact" w:before="0" w:after="0"/>
        <w:ind w:left="959" w:right="0" w:hanging="361"/>
        <w:jc w:val="left"/>
        <w:rPr>
          <w:sz w:val="23"/>
        </w:rPr>
      </w:pPr>
      <w:r>
        <w:rPr>
          <w:sz w:val="23"/>
        </w:rPr>
        <w:t>Eliminar los elementos distorsionadores del sistema impositivo de los</w:t>
      </w:r>
      <w:r>
        <w:rPr>
          <w:spacing w:val="-15"/>
          <w:sz w:val="23"/>
        </w:rPr>
        <w:t> </w:t>
      </w:r>
      <w:r>
        <w:rPr>
          <w:sz w:val="23"/>
        </w:rPr>
        <w:t>combustibles.</w:t>
      </w:r>
    </w:p>
    <w:p>
      <w:pPr>
        <w:pStyle w:val="ListParagraph"/>
        <w:numPr>
          <w:ilvl w:val="1"/>
          <w:numId w:val="43"/>
        </w:numPr>
        <w:tabs>
          <w:tab w:pos="959" w:val="left" w:leader="none"/>
          <w:tab w:pos="960" w:val="left" w:leader="none"/>
        </w:tabs>
        <w:spacing w:line="280" w:lineRule="exact" w:before="0" w:after="0"/>
        <w:ind w:left="959" w:right="0" w:hanging="361"/>
        <w:jc w:val="left"/>
        <w:rPr>
          <w:sz w:val="23"/>
        </w:rPr>
      </w:pPr>
      <w:r>
        <w:rPr>
          <w:sz w:val="23"/>
        </w:rPr>
        <w:t>Desarrollar el mercado de gas natural, en su oferta como en su</w:t>
      </w:r>
      <w:r>
        <w:rPr>
          <w:spacing w:val="-6"/>
          <w:sz w:val="23"/>
        </w:rPr>
        <w:t> </w:t>
      </w:r>
      <w:r>
        <w:rPr>
          <w:sz w:val="23"/>
        </w:rPr>
        <w:t>demanda.</w:t>
      </w:r>
    </w:p>
    <w:p>
      <w:pPr>
        <w:pStyle w:val="BodyText"/>
        <w:rPr>
          <w:sz w:val="28"/>
        </w:rPr>
      </w:pPr>
    </w:p>
    <w:p>
      <w:pPr>
        <w:pStyle w:val="Heading5"/>
        <w:numPr>
          <w:ilvl w:val="2"/>
          <w:numId w:val="17"/>
        </w:numPr>
        <w:tabs>
          <w:tab w:pos="1319" w:val="left" w:leader="none"/>
          <w:tab w:pos="1320" w:val="left" w:leader="none"/>
          <w:tab w:pos="3438" w:val="left" w:leader="none"/>
          <w:tab w:pos="4101" w:val="left" w:leader="none"/>
          <w:tab w:pos="5874" w:val="left" w:leader="none"/>
          <w:tab w:pos="6621" w:val="left" w:leader="none"/>
          <w:tab w:pos="9275" w:val="left" w:leader="none"/>
        </w:tabs>
        <w:spacing w:line="240" w:lineRule="auto" w:before="242" w:after="0"/>
        <w:ind w:left="1320" w:right="1055" w:hanging="1080"/>
        <w:jc w:val="left"/>
      </w:pPr>
      <w:bookmarkStart w:name="_TOC_250063" w:id="36"/>
      <w:r>
        <w:rPr/>
        <w:t>Incrementar</w:t>
        <w:tab/>
        <w:t>la</w:t>
        <w:tab/>
        <w:t>capacidad</w:t>
        <w:tab/>
        <w:t>de</w:t>
        <w:tab/>
        <w:t>almacenamiento</w:t>
        <w:tab/>
      </w:r>
      <w:r>
        <w:rPr>
          <w:spacing w:val="-9"/>
        </w:rPr>
        <w:t>de </w:t>
      </w:r>
      <w:bookmarkEnd w:id="36"/>
      <w:r>
        <w:rPr/>
        <w:t>combustibles</w:t>
      </w:r>
    </w:p>
    <w:p>
      <w:pPr>
        <w:pStyle w:val="BodyText"/>
        <w:spacing w:before="4"/>
        <w:rPr>
          <w:rFonts w:ascii="Verdana"/>
          <w:b/>
        </w:rPr>
      </w:pPr>
    </w:p>
    <w:p>
      <w:pPr>
        <w:pStyle w:val="Heading3"/>
        <w:rPr>
          <w:i/>
        </w:rPr>
      </w:pPr>
      <w:bookmarkStart w:name="_TOC_250062" w:id="37"/>
      <w:bookmarkEnd w:id="37"/>
      <w:r>
        <w:rPr>
          <w:i/>
          <w:w w:val="110"/>
        </w:rPr>
        <w:t>Situación actual del almacenamiento de combustibles</w:t>
      </w:r>
    </w:p>
    <w:p>
      <w:pPr>
        <w:pStyle w:val="BodyText"/>
        <w:spacing w:before="11"/>
        <w:rPr>
          <w:rFonts w:ascii="Times New Roman"/>
          <w:b/>
          <w:i/>
        </w:rPr>
      </w:pPr>
    </w:p>
    <w:p>
      <w:pPr>
        <w:pStyle w:val="BodyText"/>
        <w:ind w:left="240" w:right="1053"/>
        <w:jc w:val="both"/>
      </w:pPr>
      <w:r>
        <w:rPr/>
        <w:t>La capacidad de almacenamiento se encuentra ubicada en la zona sur-este del país, particularmente en la zona de Santo Domingo, donde se ubica el 50% de la demanda. La zona norte, con un 30% de la demanda global, la zona sur, con un 6% de la demanda y la zona este, con un 14% de la demanda, no poseen instalaciones de almacenamiento.</w:t>
      </w:r>
    </w:p>
    <w:p>
      <w:pPr>
        <w:pStyle w:val="BodyText"/>
        <w:spacing w:before="1"/>
      </w:pPr>
    </w:p>
    <w:p>
      <w:pPr>
        <w:pStyle w:val="BodyText"/>
        <w:ind w:left="240" w:right="1055"/>
        <w:jc w:val="both"/>
      </w:pPr>
      <w:r>
        <w:rPr/>
        <w:t>La tabla 2.10 se resume la capacidad de almacenamiento de petróleos crudos y derivados que posee el país. Esta capacidad es de 6,860,931 bbl para todos los combustibles.</w:t>
      </w:r>
    </w:p>
    <w:p>
      <w:pPr>
        <w:pStyle w:val="BodyText"/>
      </w:pPr>
    </w:p>
    <w:p>
      <w:pPr>
        <w:pStyle w:val="BodyText"/>
        <w:ind w:left="240"/>
        <w:jc w:val="both"/>
      </w:pPr>
      <w:r>
        <w:rPr/>
        <w:t>El diagnóstico del almacenamiento permite derivar las siguientes conclusiones:</w:t>
      </w:r>
    </w:p>
    <w:p>
      <w:pPr>
        <w:pStyle w:val="BodyText"/>
        <w:spacing w:before="11"/>
        <w:rPr>
          <w:sz w:val="22"/>
        </w:rPr>
      </w:pPr>
    </w:p>
    <w:p>
      <w:pPr>
        <w:pStyle w:val="ListParagraph"/>
        <w:numPr>
          <w:ilvl w:val="0"/>
          <w:numId w:val="44"/>
        </w:numPr>
        <w:tabs>
          <w:tab w:pos="531" w:val="left" w:leader="none"/>
        </w:tabs>
        <w:spacing w:line="240" w:lineRule="auto" w:before="0" w:after="0"/>
        <w:ind w:left="240" w:right="1054" w:firstLine="0"/>
        <w:jc w:val="both"/>
        <w:rPr>
          <w:sz w:val="23"/>
        </w:rPr>
      </w:pPr>
      <w:r>
        <w:rPr>
          <w:sz w:val="23"/>
        </w:rPr>
        <w:t>Existen grandes zonas de demanda de combustible que no cuentan con almacenamiento regional de respaldo: la zona norte, la zona turística del este y la zona</w:t>
      </w:r>
      <w:r>
        <w:rPr>
          <w:spacing w:val="-15"/>
          <w:sz w:val="23"/>
        </w:rPr>
        <w:t> </w:t>
      </w:r>
      <w:r>
        <w:rPr>
          <w:sz w:val="23"/>
        </w:rPr>
        <w:t>sur.</w:t>
      </w:r>
    </w:p>
    <w:p>
      <w:pPr>
        <w:pStyle w:val="ListParagraph"/>
        <w:numPr>
          <w:ilvl w:val="0"/>
          <w:numId w:val="44"/>
        </w:numPr>
        <w:tabs>
          <w:tab w:pos="560" w:val="left" w:leader="none"/>
        </w:tabs>
        <w:spacing w:line="240" w:lineRule="auto" w:before="2" w:after="0"/>
        <w:ind w:left="240" w:right="1055" w:firstLine="0"/>
        <w:jc w:val="both"/>
        <w:rPr>
          <w:sz w:val="23"/>
        </w:rPr>
      </w:pPr>
      <w:r>
        <w:rPr>
          <w:sz w:val="23"/>
        </w:rPr>
        <w:t>Estas zonas han sufrido diversos inconvenientes; sin embargo estas interrupciones no han sido analizadas con información estadística cuantitativa (días de interrupción del suministro; frecuencia de las interrupciones; máximo corte previsible; etc.) que las respalde.</w:t>
      </w:r>
    </w:p>
    <w:p>
      <w:pPr>
        <w:pStyle w:val="ListParagraph"/>
        <w:numPr>
          <w:ilvl w:val="0"/>
          <w:numId w:val="44"/>
        </w:numPr>
        <w:tabs>
          <w:tab w:pos="526" w:val="left" w:leader="none"/>
        </w:tabs>
        <w:spacing w:line="276" w:lineRule="exact" w:before="0" w:after="0"/>
        <w:ind w:left="525" w:right="0" w:hanging="286"/>
        <w:jc w:val="both"/>
        <w:rPr>
          <w:sz w:val="23"/>
        </w:rPr>
      </w:pPr>
      <w:r>
        <w:rPr>
          <w:sz w:val="23"/>
        </w:rPr>
        <w:t>Hay déficit de capacidad de almacenamiento del GLP, Avtur y</w:t>
      </w:r>
      <w:r>
        <w:rPr>
          <w:spacing w:val="-8"/>
          <w:sz w:val="23"/>
        </w:rPr>
        <w:t> </w:t>
      </w:r>
      <w:r>
        <w:rPr>
          <w:sz w:val="23"/>
        </w:rPr>
        <w:t>nafta.</w:t>
      </w:r>
    </w:p>
    <w:p>
      <w:pPr>
        <w:pStyle w:val="ListParagraph"/>
        <w:numPr>
          <w:ilvl w:val="0"/>
          <w:numId w:val="44"/>
        </w:numPr>
        <w:tabs>
          <w:tab w:pos="531" w:val="left" w:leader="none"/>
        </w:tabs>
        <w:spacing w:line="240" w:lineRule="auto" w:before="1" w:after="0"/>
        <w:ind w:left="240" w:right="1056" w:firstLine="0"/>
        <w:jc w:val="both"/>
        <w:rPr>
          <w:sz w:val="23"/>
        </w:rPr>
      </w:pPr>
      <w:r>
        <w:rPr>
          <w:sz w:val="23"/>
        </w:rPr>
        <w:t>No existe en la normativa vigente el concepto de “Reserva Estratégica Remunerada“ que podría constituirse en una “Reserva de Seguridad Remunerada” para hacer frente a las posibles interrupciones al suministro a la Isla en condiciones de “Huracán grado</w:t>
      </w:r>
      <w:r>
        <w:rPr>
          <w:spacing w:val="-15"/>
          <w:sz w:val="23"/>
        </w:rPr>
        <w:t> </w:t>
      </w:r>
      <w:r>
        <w:rPr>
          <w:sz w:val="23"/>
        </w:rPr>
        <w:t>5”.</w:t>
      </w:r>
    </w:p>
    <w:p>
      <w:pPr>
        <w:pStyle w:val="BodyText"/>
        <w:rPr>
          <w:sz w:val="28"/>
        </w:rPr>
      </w:pPr>
    </w:p>
    <w:p>
      <w:pPr>
        <w:pStyle w:val="Heading9"/>
        <w:spacing w:before="217"/>
        <w:ind w:left="2347" w:right="1892" w:hanging="1263"/>
        <w:rPr>
          <w:rFonts w:ascii="Verdana"/>
        </w:rPr>
      </w:pPr>
      <w:r>
        <w:rPr>
          <w:rFonts w:ascii="Verdana"/>
        </w:rPr>
        <w:t>Tabla 2.10 - Capacidad de almacenamiento Dominicana por combustibles y empresas distribuidoras</w:t>
      </w:r>
    </w:p>
    <w:tbl>
      <w:tblPr>
        <w:tblW w:w="0" w:type="auto"/>
        <w:jc w:val="left"/>
        <w:tblInd w:w="147"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1368"/>
        <w:gridCol w:w="1013"/>
        <w:gridCol w:w="1143"/>
        <w:gridCol w:w="1145"/>
        <w:gridCol w:w="1145"/>
        <w:gridCol w:w="1143"/>
        <w:gridCol w:w="1145"/>
        <w:gridCol w:w="1143"/>
        <w:gridCol w:w="1145"/>
      </w:tblGrid>
      <w:tr>
        <w:trPr>
          <w:trHeight w:val="277" w:hRule="atLeast"/>
        </w:trPr>
        <w:tc>
          <w:tcPr>
            <w:tcW w:w="1368" w:type="dxa"/>
            <w:tcBorders>
              <w:bottom w:val="single" w:sz="8" w:space="0" w:color="7F7F7F"/>
              <w:right w:val="single" w:sz="8" w:space="0" w:color="7F7F7F"/>
            </w:tcBorders>
            <w:shd w:val="clear" w:color="auto" w:fill="BFBFBF"/>
          </w:tcPr>
          <w:p>
            <w:pPr>
              <w:pStyle w:val="TableParagraph"/>
              <w:rPr>
                <w:rFonts w:ascii="Times New Roman"/>
                <w:sz w:val="20"/>
              </w:rPr>
            </w:pPr>
          </w:p>
        </w:tc>
        <w:tc>
          <w:tcPr>
            <w:tcW w:w="9022" w:type="dxa"/>
            <w:gridSpan w:val="8"/>
            <w:tcBorders>
              <w:left w:val="single" w:sz="8" w:space="0" w:color="7F7F7F"/>
              <w:bottom w:val="single" w:sz="8" w:space="0" w:color="7F7F7F"/>
            </w:tcBorders>
            <w:shd w:val="clear" w:color="auto" w:fill="BFBFBF"/>
          </w:tcPr>
          <w:p>
            <w:pPr>
              <w:pStyle w:val="TableParagraph"/>
              <w:spacing w:line="257" w:lineRule="exact"/>
              <w:ind w:left="3059" w:right="3029"/>
              <w:jc w:val="center"/>
              <w:rPr>
                <w:b/>
                <w:sz w:val="23"/>
              </w:rPr>
            </w:pPr>
            <w:r>
              <w:rPr>
                <w:b/>
                <w:sz w:val="23"/>
              </w:rPr>
              <w:t>Combustibles en Barriles</w:t>
            </w:r>
          </w:p>
        </w:tc>
      </w:tr>
      <w:tr>
        <w:trPr>
          <w:trHeight w:val="277" w:hRule="atLeast"/>
        </w:trPr>
        <w:tc>
          <w:tcPr>
            <w:tcW w:w="1368" w:type="dxa"/>
            <w:tcBorders>
              <w:top w:val="single" w:sz="8" w:space="0" w:color="7F7F7F"/>
              <w:bottom w:val="single" w:sz="8" w:space="0" w:color="7F7F7F"/>
              <w:right w:val="single" w:sz="8" w:space="0" w:color="7F7F7F"/>
            </w:tcBorders>
            <w:shd w:val="clear" w:color="auto" w:fill="BFBFBF"/>
          </w:tcPr>
          <w:p>
            <w:pPr>
              <w:pStyle w:val="TableParagraph"/>
              <w:spacing w:line="258" w:lineRule="exact"/>
              <w:ind w:left="184"/>
              <w:rPr>
                <w:b/>
                <w:sz w:val="23"/>
              </w:rPr>
            </w:pPr>
            <w:r>
              <w:rPr>
                <w:b/>
                <w:sz w:val="23"/>
              </w:rPr>
              <w:t>Empresa</w:t>
            </w:r>
          </w:p>
        </w:tc>
        <w:tc>
          <w:tcPr>
            <w:tcW w:w="1013" w:type="dxa"/>
            <w:tcBorders>
              <w:top w:val="single" w:sz="8" w:space="0" w:color="7F7F7F"/>
              <w:left w:val="single" w:sz="8" w:space="0" w:color="7F7F7F"/>
              <w:bottom w:val="single" w:sz="8" w:space="0" w:color="7F7F7F"/>
              <w:right w:val="single" w:sz="8" w:space="0" w:color="7F7F7F"/>
            </w:tcBorders>
            <w:shd w:val="clear" w:color="auto" w:fill="BFBFBF"/>
          </w:tcPr>
          <w:p>
            <w:pPr>
              <w:pStyle w:val="TableParagraph"/>
              <w:spacing w:before="1"/>
              <w:ind w:left="311"/>
              <w:rPr>
                <w:b/>
                <w:sz w:val="20"/>
              </w:rPr>
            </w:pPr>
            <w:r>
              <w:rPr>
                <w:b/>
                <w:sz w:val="20"/>
              </w:rPr>
              <w:t>GLP</w:t>
            </w:r>
          </w:p>
        </w:tc>
        <w:tc>
          <w:tcPr>
            <w:tcW w:w="1143" w:type="dxa"/>
            <w:tcBorders>
              <w:top w:val="single" w:sz="8" w:space="0" w:color="7F7F7F"/>
              <w:left w:val="single" w:sz="8" w:space="0" w:color="7F7F7F"/>
              <w:bottom w:val="single" w:sz="8" w:space="0" w:color="7F7F7F"/>
              <w:right w:val="single" w:sz="8" w:space="0" w:color="7F7F7F"/>
            </w:tcBorders>
            <w:shd w:val="clear" w:color="auto" w:fill="BFBFBF"/>
          </w:tcPr>
          <w:p>
            <w:pPr>
              <w:pStyle w:val="TableParagraph"/>
              <w:spacing w:before="2"/>
              <w:ind w:right="109"/>
              <w:jc w:val="right"/>
              <w:rPr>
                <w:b/>
                <w:sz w:val="18"/>
              </w:rPr>
            </w:pPr>
            <w:r>
              <w:rPr>
                <w:b/>
                <w:w w:val="95"/>
                <w:sz w:val="18"/>
              </w:rPr>
              <w:t>Gasolinas</w:t>
            </w:r>
          </w:p>
        </w:tc>
        <w:tc>
          <w:tcPr>
            <w:tcW w:w="1145" w:type="dxa"/>
            <w:tcBorders>
              <w:top w:val="single" w:sz="8" w:space="0" w:color="7F7F7F"/>
              <w:left w:val="single" w:sz="8" w:space="0" w:color="7F7F7F"/>
              <w:bottom w:val="single" w:sz="8" w:space="0" w:color="7F7F7F"/>
              <w:right w:val="single" w:sz="8" w:space="0" w:color="7F7F7F"/>
            </w:tcBorders>
            <w:shd w:val="clear" w:color="auto" w:fill="BFBFBF"/>
          </w:tcPr>
          <w:p>
            <w:pPr>
              <w:pStyle w:val="TableParagraph"/>
              <w:spacing w:before="1"/>
              <w:ind w:left="267"/>
              <w:rPr>
                <w:b/>
                <w:sz w:val="20"/>
              </w:rPr>
            </w:pPr>
            <w:r>
              <w:rPr>
                <w:b/>
                <w:sz w:val="20"/>
              </w:rPr>
              <w:t>Gasoil</w:t>
            </w:r>
          </w:p>
        </w:tc>
        <w:tc>
          <w:tcPr>
            <w:tcW w:w="1145" w:type="dxa"/>
            <w:tcBorders>
              <w:top w:val="single" w:sz="8" w:space="0" w:color="7F7F7F"/>
              <w:left w:val="single" w:sz="8" w:space="0" w:color="7F7F7F"/>
              <w:bottom w:val="single" w:sz="8" w:space="0" w:color="7F7F7F"/>
              <w:right w:val="single" w:sz="8" w:space="0" w:color="7F7F7F"/>
            </w:tcBorders>
            <w:shd w:val="clear" w:color="auto" w:fill="BFBFBF"/>
          </w:tcPr>
          <w:p>
            <w:pPr>
              <w:pStyle w:val="TableParagraph"/>
              <w:spacing w:before="1"/>
              <w:ind w:left="300"/>
              <w:rPr>
                <w:b/>
                <w:sz w:val="20"/>
              </w:rPr>
            </w:pPr>
            <w:r>
              <w:rPr>
                <w:b/>
                <w:sz w:val="20"/>
              </w:rPr>
              <w:t>Avtur</w:t>
            </w:r>
          </w:p>
        </w:tc>
        <w:tc>
          <w:tcPr>
            <w:tcW w:w="1143" w:type="dxa"/>
            <w:tcBorders>
              <w:top w:val="single" w:sz="8" w:space="0" w:color="7F7F7F"/>
              <w:left w:val="single" w:sz="8" w:space="0" w:color="7F7F7F"/>
              <w:bottom w:val="single" w:sz="8" w:space="0" w:color="7F7F7F"/>
              <w:right w:val="single" w:sz="8" w:space="0" w:color="7F7F7F"/>
            </w:tcBorders>
            <w:shd w:val="clear" w:color="auto" w:fill="BFBFBF"/>
          </w:tcPr>
          <w:p>
            <w:pPr>
              <w:pStyle w:val="TableParagraph"/>
              <w:spacing w:before="1"/>
              <w:ind w:left="195"/>
              <w:rPr>
                <w:b/>
                <w:sz w:val="20"/>
              </w:rPr>
            </w:pPr>
            <w:r>
              <w:rPr>
                <w:b/>
                <w:sz w:val="20"/>
              </w:rPr>
              <w:t>Fuel Oil</w:t>
            </w:r>
          </w:p>
        </w:tc>
        <w:tc>
          <w:tcPr>
            <w:tcW w:w="1145" w:type="dxa"/>
            <w:tcBorders>
              <w:top w:val="single" w:sz="8" w:space="0" w:color="7F7F7F"/>
              <w:left w:val="single" w:sz="8" w:space="0" w:color="7F7F7F"/>
              <w:bottom w:val="single" w:sz="8" w:space="0" w:color="7F7F7F"/>
              <w:right w:val="single" w:sz="8" w:space="0" w:color="7F7F7F"/>
            </w:tcBorders>
            <w:shd w:val="clear" w:color="auto" w:fill="BFBFBF"/>
          </w:tcPr>
          <w:p>
            <w:pPr>
              <w:pStyle w:val="TableParagraph"/>
              <w:spacing w:before="1"/>
              <w:ind w:left="297"/>
              <w:rPr>
                <w:b/>
                <w:sz w:val="20"/>
              </w:rPr>
            </w:pPr>
            <w:r>
              <w:rPr>
                <w:b/>
                <w:sz w:val="20"/>
              </w:rPr>
              <w:t>Nafta</w:t>
            </w:r>
          </w:p>
        </w:tc>
        <w:tc>
          <w:tcPr>
            <w:tcW w:w="1143" w:type="dxa"/>
            <w:tcBorders>
              <w:top w:val="single" w:sz="8" w:space="0" w:color="7F7F7F"/>
              <w:left w:val="single" w:sz="8" w:space="0" w:color="7F7F7F"/>
              <w:bottom w:val="single" w:sz="8" w:space="0" w:color="7F7F7F"/>
              <w:right w:val="single" w:sz="8" w:space="0" w:color="7F7F7F"/>
            </w:tcBorders>
            <w:shd w:val="clear" w:color="auto" w:fill="BFBFBF"/>
          </w:tcPr>
          <w:p>
            <w:pPr>
              <w:pStyle w:val="TableParagraph"/>
              <w:spacing w:before="1"/>
              <w:ind w:left="223"/>
              <w:rPr>
                <w:b/>
                <w:sz w:val="20"/>
              </w:rPr>
            </w:pPr>
            <w:r>
              <w:rPr>
                <w:b/>
                <w:sz w:val="20"/>
              </w:rPr>
              <w:t>Crudos</w:t>
            </w:r>
          </w:p>
        </w:tc>
        <w:tc>
          <w:tcPr>
            <w:tcW w:w="1145" w:type="dxa"/>
            <w:tcBorders>
              <w:top w:val="single" w:sz="8" w:space="0" w:color="7F7F7F"/>
              <w:left w:val="single" w:sz="8" w:space="0" w:color="7F7F7F"/>
              <w:bottom w:val="single" w:sz="8" w:space="0" w:color="7F7F7F"/>
            </w:tcBorders>
            <w:shd w:val="clear" w:color="auto" w:fill="BFBFBF"/>
          </w:tcPr>
          <w:p>
            <w:pPr>
              <w:pStyle w:val="TableParagraph"/>
              <w:spacing w:before="1"/>
              <w:ind w:left="318"/>
              <w:rPr>
                <w:b/>
                <w:sz w:val="20"/>
              </w:rPr>
            </w:pPr>
            <w:r>
              <w:rPr>
                <w:b/>
                <w:sz w:val="20"/>
              </w:rPr>
              <w:t>Total</w:t>
            </w: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3" w:lineRule="exact"/>
              <w:ind w:left="107"/>
              <w:rPr>
                <w:b/>
                <w:sz w:val="16"/>
              </w:rPr>
            </w:pPr>
            <w:r>
              <w:rPr>
                <w:b/>
                <w:sz w:val="16"/>
              </w:rPr>
              <w:t>REFIDOMSA</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left="349"/>
              <w:rPr>
                <w:b/>
                <w:sz w:val="16"/>
              </w:rPr>
            </w:pPr>
            <w:r>
              <w:rPr>
                <w:b/>
                <w:sz w:val="16"/>
              </w:rPr>
              <w:t>68,000</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329,000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323,000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1"/>
              <w:jc w:val="right"/>
              <w:rPr>
                <w:b/>
                <w:sz w:val="16"/>
              </w:rPr>
            </w:pPr>
            <w:r>
              <w:rPr>
                <w:b/>
                <w:sz w:val="16"/>
              </w:rPr>
              <w:t>100,000</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1"/>
              <w:jc w:val="right"/>
              <w:rPr>
                <w:b/>
                <w:sz w:val="16"/>
              </w:rPr>
            </w:pPr>
            <w:r>
              <w:rPr>
                <w:b/>
                <w:sz w:val="16"/>
              </w:rPr>
              <w:t>240,000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940,000</w:t>
            </w: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3" w:lineRule="exact"/>
              <w:ind w:left="107"/>
              <w:rPr>
                <w:b/>
                <w:sz w:val="16"/>
              </w:rPr>
            </w:pPr>
            <w:r>
              <w:rPr>
                <w:b/>
                <w:sz w:val="16"/>
              </w:rPr>
              <w:t>Falconbridge</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32,348</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1"/>
              <w:jc w:val="right"/>
              <w:rPr>
                <w:b/>
                <w:sz w:val="16"/>
              </w:rPr>
            </w:pPr>
            <w:r>
              <w:rPr>
                <w:b/>
                <w:sz w:val="16"/>
              </w:rPr>
              <w:t>100,000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1"/>
              <w:jc w:val="right"/>
              <w:rPr>
                <w:b/>
                <w:sz w:val="16"/>
              </w:rPr>
            </w:pPr>
            <w:r>
              <w:rPr>
                <w:b/>
                <w:sz w:val="16"/>
              </w:rPr>
              <w:t>64,000</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459,561</w:t>
            </w: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4" w:lineRule="exact"/>
              <w:ind w:left="107"/>
              <w:rPr>
                <w:b/>
                <w:sz w:val="16"/>
              </w:rPr>
            </w:pPr>
            <w:r>
              <w:rPr>
                <w:b/>
                <w:sz w:val="16"/>
              </w:rPr>
              <w:t>Shell</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0"/>
              <w:jc w:val="right"/>
              <w:rPr>
                <w:b/>
                <w:sz w:val="16"/>
              </w:rPr>
            </w:pPr>
            <w:r>
              <w:rPr>
                <w:b/>
                <w:sz w:val="16"/>
              </w:rPr>
              <w:t>100,000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0"/>
              <w:jc w:val="right"/>
              <w:rPr>
                <w:b/>
                <w:sz w:val="16"/>
              </w:rPr>
            </w:pPr>
            <w:r>
              <w:rPr>
                <w:b/>
                <w:sz w:val="16"/>
              </w:rPr>
              <w:t>214,912</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1"/>
              <w:jc w:val="right"/>
              <w:rPr>
                <w:b/>
                <w:sz w:val="16"/>
              </w:rPr>
            </w:pPr>
            <w:r>
              <w:rPr>
                <w:b/>
                <w:sz w:val="16"/>
              </w:rPr>
              <w:t>15,004</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1"/>
              <w:jc w:val="right"/>
              <w:rPr>
                <w:b/>
                <w:sz w:val="16"/>
              </w:rPr>
            </w:pPr>
            <w:r>
              <w:rPr>
                <w:b/>
                <w:sz w:val="16"/>
              </w:rPr>
              <w:t>11,638</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4" w:lineRule="exact"/>
              <w:ind w:left="107"/>
              <w:rPr>
                <w:b/>
                <w:sz w:val="16"/>
              </w:rPr>
            </w:pPr>
            <w:r>
              <w:rPr>
                <w:b/>
                <w:sz w:val="16"/>
              </w:rPr>
              <w:t>Texaco</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0"/>
              <w:jc w:val="right"/>
              <w:rPr>
                <w:b/>
                <w:sz w:val="16"/>
              </w:rPr>
            </w:pPr>
            <w:r>
              <w:rPr>
                <w:b/>
                <w:sz w:val="16"/>
              </w:rPr>
              <w:t>120,000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1"/>
              <w:jc w:val="right"/>
              <w:rPr>
                <w:b/>
                <w:sz w:val="16"/>
              </w:rPr>
            </w:pPr>
            <w:r>
              <w:rPr>
                <w:b/>
                <w:sz w:val="16"/>
              </w:rPr>
              <w:t>143</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1"/>
              <w:jc w:val="right"/>
              <w:rPr>
                <w:b/>
                <w:sz w:val="16"/>
              </w:rPr>
            </w:pPr>
            <w:r>
              <w:rPr>
                <w:b/>
                <w:sz w:val="16"/>
              </w:rPr>
              <w:t>21,750</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1"/>
              <w:jc w:val="right"/>
              <w:rPr>
                <w:b/>
                <w:sz w:val="16"/>
              </w:rPr>
            </w:pPr>
            <w:r>
              <w:rPr>
                <w:b/>
                <w:sz w:val="16"/>
              </w:rPr>
              <w:t>341,554</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1" w:hRule="atLeast"/>
        </w:trPr>
        <w:tc>
          <w:tcPr>
            <w:tcW w:w="1368" w:type="dxa"/>
            <w:tcBorders>
              <w:top w:val="single" w:sz="8" w:space="0" w:color="7F7F7F"/>
              <w:bottom w:val="single" w:sz="8" w:space="0" w:color="7F7F7F"/>
              <w:right w:val="single" w:sz="8" w:space="0" w:color="7F7F7F"/>
            </w:tcBorders>
          </w:tcPr>
          <w:p>
            <w:pPr>
              <w:pStyle w:val="TableParagraph"/>
              <w:spacing w:line="171" w:lineRule="exact"/>
              <w:ind w:left="107"/>
              <w:rPr>
                <w:b/>
                <w:sz w:val="16"/>
              </w:rPr>
            </w:pPr>
            <w:r>
              <w:rPr>
                <w:b/>
                <w:sz w:val="16"/>
              </w:rPr>
              <w:t>Esso</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1" w:lineRule="exact"/>
              <w:ind w:right="80"/>
              <w:jc w:val="right"/>
              <w:rPr>
                <w:b/>
                <w:sz w:val="16"/>
              </w:rPr>
            </w:pPr>
            <w:r>
              <w:rPr>
                <w:b/>
                <w:sz w:val="16"/>
              </w:rPr>
              <w:t>50,000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1" w:lineRule="exact"/>
              <w:ind w:right="81"/>
              <w:jc w:val="right"/>
              <w:rPr>
                <w:b/>
                <w:sz w:val="16"/>
              </w:rPr>
            </w:pPr>
            <w:r>
              <w:rPr>
                <w:b/>
                <w:sz w:val="16"/>
              </w:rPr>
              <w:t>6,000</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1" w:lineRule="exact"/>
              <w:ind w:right="81"/>
              <w:jc w:val="right"/>
              <w:rPr>
                <w:b/>
                <w:sz w:val="16"/>
              </w:rPr>
            </w:pPr>
            <w:r>
              <w:rPr>
                <w:b/>
                <w:sz w:val="16"/>
              </w:rPr>
              <w:t>107,000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3" w:lineRule="exact"/>
              <w:ind w:left="107"/>
              <w:rPr>
                <w:b/>
                <w:sz w:val="16"/>
              </w:rPr>
            </w:pPr>
            <w:r>
              <w:rPr>
                <w:b/>
                <w:sz w:val="16"/>
              </w:rPr>
              <w:t>Isla</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115,000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12,348</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1"/>
              <w:jc w:val="right"/>
              <w:rPr>
                <w:b/>
                <w:sz w:val="16"/>
              </w:rPr>
            </w:pPr>
            <w:r>
              <w:rPr>
                <w:b/>
                <w:sz w:val="16"/>
              </w:rPr>
              <w:t>127,348</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3" w:lineRule="exact"/>
              <w:ind w:left="107"/>
              <w:rPr>
                <w:b/>
                <w:sz w:val="16"/>
              </w:rPr>
            </w:pPr>
            <w:r>
              <w:rPr>
                <w:b/>
                <w:sz w:val="16"/>
              </w:rPr>
              <w:t>Coastal</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left="349"/>
              <w:rPr>
                <w:b/>
                <w:sz w:val="16"/>
              </w:rPr>
            </w:pPr>
            <w:r>
              <w:rPr>
                <w:b/>
                <w:sz w:val="16"/>
              </w:rPr>
              <w:t>60,714</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1,428</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100,000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4" w:lineRule="exact"/>
              <w:ind w:left="107"/>
              <w:rPr>
                <w:b/>
                <w:sz w:val="16"/>
              </w:rPr>
            </w:pPr>
            <w:r>
              <w:rPr>
                <w:b/>
                <w:sz w:val="16"/>
              </w:rPr>
              <w:t>Nativa</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0"/>
              <w:jc w:val="right"/>
              <w:rPr>
                <w:b/>
                <w:sz w:val="16"/>
              </w:rPr>
            </w:pPr>
            <w:r>
              <w:rPr>
                <w:b/>
                <w:sz w:val="16"/>
              </w:rPr>
              <w:t>8,000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0"/>
              <w:jc w:val="right"/>
              <w:rPr>
                <w:b/>
                <w:sz w:val="16"/>
              </w:rPr>
            </w:pPr>
            <w:r>
              <w:rPr>
                <w:b/>
                <w:sz w:val="16"/>
              </w:rPr>
              <w:t>100,000</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spacing w:line="174" w:lineRule="exact"/>
              <w:ind w:left="107"/>
              <w:rPr>
                <w:b/>
                <w:sz w:val="16"/>
              </w:rPr>
            </w:pPr>
            <w:r>
              <w:rPr>
                <w:b/>
                <w:sz w:val="16"/>
              </w:rPr>
              <w:t>EGP</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0"/>
              <w:jc w:val="right"/>
              <w:rPr>
                <w:b/>
                <w:sz w:val="16"/>
              </w:rPr>
            </w:pPr>
            <w:r>
              <w:rPr>
                <w:b/>
                <w:sz w:val="16"/>
              </w:rPr>
              <w:t>634,356</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spacing w:line="174" w:lineRule="exact"/>
              <w:ind w:right="81"/>
              <w:jc w:val="right"/>
              <w:rPr>
                <w:b/>
                <w:sz w:val="16"/>
              </w:rPr>
            </w:pPr>
            <w:r>
              <w:rPr>
                <w:b/>
                <w:sz w:val="16"/>
              </w:rPr>
              <w:t>345,745</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right w:val="single" w:sz="8" w:space="0" w:color="7F7F7F"/>
            </w:tcBorders>
          </w:tcPr>
          <w:p>
            <w:pPr>
              <w:pStyle w:val="TableParagraph"/>
              <w:spacing w:line="173" w:lineRule="exact"/>
              <w:ind w:left="107"/>
              <w:rPr>
                <w:b/>
                <w:sz w:val="16"/>
              </w:rPr>
            </w:pPr>
            <w:r>
              <w:rPr>
                <w:b/>
                <w:sz w:val="16"/>
              </w:rPr>
              <w:t>Mundo Gas</w:t>
            </w:r>
          </w:p>
        </w:tc>
        <w:tc>
          <w:tcPr>
            <w:tcW w:w="1013" w:type="dxa"/>
            <w:tcBorders>
              <w:top w:val="single" w:sz="8" w:space="0" w:color="7F7F7F"/>
              <w:left w:val="single" w:sz="8" w:space="0" w:color="7F7F7F"/>
              <w:right w:val="single" w:sz="8" w:space="0" w:color="7F7F7F"/>
            </w:tcBorders>
          </w:tcPr>
          <w:p>
            <w:pPr>
              <w:pStyle w:val="TableParagraph"/>
              <w:spacing w:line="173" w:lineRule="exact"/>
              <w:ind w:left="349"/>
              <w:rPr>
                <w:b/>
                <w:sz w:val="16"/>
              </w:rPr>
            </w:pPr>
            <w:r>
              <w:rPr>
                <w:b/>
                <w:sz w:val="16"/>
              </w:rPr>
              <w:t>71,428</w:t>
            </w:r>
          </w:p>
        </w:tc>
        <w:tc>
          <w:tcPr>
            <w:tcW w:w="1143"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tcBorders>
          </w:tcPr>
          <w:p>
            <w:pPr>
              <w:pStyle w:val="TableParagraph"/>
              <w:rPr>
                <w:rFonts w:ascii="Times New Roman"/>
                <w:sz w:val="12"/>
              </w:rPr>
            </w:pPr>
          </w:p>
        </w:tc>
      </w:tr>
    </w:tbl>
    <w:p>
      <w:pPr>
        <w:spacing w:after="0"/>
        <w:rPr>
          <w:rFonts w:ascii="Times New Roman"/>
          <w:sz w:val="12"/>
        </w:rPr>
        <w:sectPr>
          <w:pgSz w:w="12240" w:h="15840"/>
          <w:pgMar w:header="718" w:footer="954" w:top="1360" w:bottom="1140" w:left="1200" w:right="380"/>
        </w:sectPr>
      </w:pPr>
    </w:p>
    <w:p>
      <w:pPr>
        <w:pStyle w:val="BodyText"/>
        <w:spacing w:before="9"/>
        <w:rPr>
          <w:rFonts w:ascii="Verdana"/>
          <w:b/>
          <w:sz w:val="19"/>
        </w:rPr>
      </w:pPr>
    </w:p>
    <w:tbl>
      <w:tblPr>
        <w:tblW w:w="0" w:type="auto"/>
        <w:jc w:val="left"/>
        <w:tblInd w:w="147"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1368"/>
        <w:gridCol w:w="1013"/>
        <w:gridCol w:w="1143"/>
        <w:gridCol w:w="1145"/>
        <w:gridCol w:w="1145"/>
        <w:gridCol w:w="1143"/>
        <w:gridCol w:w="1145"/>
        <w:gridCol w:w="1143"/>
        <w:gridCol w:w="1145"/>
      </w:tblGrid>
      <w:tr>
        <w:trPr>
          <w:trHeight w:val="193" w:hRule="atLeast"/>
        </w:trPr>
        <w:tc>
          <w:tcPr>
            <w:tcW w:w="1368" w:type="dxa"/>
            <w:tcBorders>
              <w:bottom w:val="single" w:sz="8" w:space="0" w:color="7F7F7F"/>
              <w:right w:val="single" w:sz="8" w:space="0" w:color="7F7F7F"/>
            </w:tcBorders>
          </w:tcPr>
          <w:p>
            <w:pPr>
              <w:pStyle w:val="TableParagraph"/>
              <w:spacing w:line="173" w:lineRule="exact"/>
              <w:ind w:left="107"/>
              <w:rPr>
                <w:b/>
                <w:sz w:val="16"/>
              </w:rPr>
            </w:pPr>
            <w:r>
              <w:rPr>
                <w:b/>
                <w:sz w:val="16"/>
              </w:rPr>
              <w:t>Generación E</w:t>
            </w:r>
          </w:p>
        </w:tc>
        <w:tc>
          <w:tcPr>
            <w:tcW w:w="1013" w:type="dxa"/>
            <w:tcBorders>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left w:val="single" w:sz="8" w:space="0" w:color="7F7F7F"/>
              <w:bottom w:val="single" w:sz="8" w:space="0" w:color="7F7F7F"/>
              <w:right w:val="single" w:sz="8" w:space="0" w:color="7F7F7F"/>
            </w:tcBorders>
          </w:tcPr>
          <w:p>
            <w:pPr>
              <w:pStyle w:val="TableParagraph"/>
              <w:spacing w:line="173" w:lineRule="exact"/>
              <w:ind w:right="80"/>
              <w:jc w:val="right"/>
              <w:rPr>
                <w:b/>
                <w:sz w:val="16"/>
              </w:rPr>
            </w:pPr>
            <w:r>
              <w:rPr>
                <w:b/>
                <w:sz w:val="16"/>
              </w:rPr>
              <w:t>407,293</w:t>
            </w:r>
          </w:p>
        </w:tc>
        <w:tc>
          <w:tcPr>
            <w:tcW w:w="1145" w:type="dxa"/>
            <w:tcBorders>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left w:val="single" w:sz="8" w:space="0" w:color="7F7F7F"/>
              <w:bottom w:val="single" w:sz="8" w:space="0" w:color="7F7F7F"/>
              <w:right w:val="single" w:sz="8" w:space="0" w:color="7F7F7F"/>
            </w:tcBorders>
          </w:tcPr>
          <w:p>
            <w:pPr>
              <w:pStyle w:val="TableParagraph"/>
              <w:spacing w:line="173" w:lineRule="exact"/>
              <w:ind w:right="81"/>
              <w:jc w:val="right"/>
              <w:rPr>
                <w:b/>
                <w:sz w:val="16"/>
              </w:rPr>
            </w:pPr>
            <w:r>
              <w:rPr>
                <w:b/>
                <w:sz w:val="16"/>
              </w:rPr>
              <w:t>1,509,950</w:t>
            </w:r>
          </w:p>
        </w:tc>
        <w:tc>
          <w:tcPr>
            <w:tcW w:w="1145" w:type="dxa"/>
            <w:tcBorders>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left w:val="single" w:sz="8" w:space="0" w:color="7F7F7F"/>
              <w:bottom w:val="single" w:sz="8" w:space="0" w:color="7F7F7F"/>
            </w:tcBorders>
          </w:tcPr>
          <w:p>
            <w:pPr>
              <w:pStyle w:val="TableParagraph"/>
              <w:rPr>
                <w:rFonts w:ascii="Times New Roman"/>
                <w:sz w:val="12"/>
              </w:rPr>
            </w:pPr>
          </w:p>
        </w:tc>
      </w:tr>
      <w:tr>
        <w:trPr>
          <w:trHeight w:val="193" w:hRule="atLeast"/>
        </w:trPr>
        <w:tc>
          <w:tcPr>
            <w:tcW w:w="1368" w:type="dxa"/>
            <w:tcBorders>
              <w:top w:val="single" w:sz="8" w:space="0" w:color="7F7F7F"/>
              <w:bottom w:val="single" w:sz="8" w:space="0" w:color="7F7F7F"/>
              <w:right w:val="single" w:sz="8" w:space="0" w:color="7F7F7F"/>
            </w:tcBorders>
          </w:tcPr>
          <w:p>
            <w:pPr>
              <w:pStyle w:val="TableParagraph"/>
              <w:rPr>
                <w:rFonts w:ascii="Times New Roman"/>
                <w:sz w:val="12"/>
              </w:rPr>
            </w:pPr>
          </w:p>
        </w:tc>
        <w:tc>
          <w:tcPr>
            <w:tcW w:w="101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bottom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bottom w:val="single" w:sz="8" w:space="0" w:color="7F7F7F"/>
            </w:tcBorders>
          </w:tcPr>
          <w:p>
            <w:pPr>
              <w:pStyle w:val="TableParagraph"/>
              <w:rPr>
                <w:rFonts w:ascii="Times New Roman"/>
                <w:sz w:val="12"/>
              </w:rPr>
            </w:pPr>
          </w:p>
        </w:tc>
      </w:tr>
      <w:tr>
        <w:trPr>
          <w:trHeight w:val="385" w:hRule="atLeast"/>
        </w:trPr>
        <w:tc>
          <w:tcPr>
            <w:tcW w:w="1368" w:type="dxa"/>
            <w:tcBorders>
              <w:top w:val="single" w:sz="8" w:space="0" w:color="7F7F7F"/>
              <w:bottom w:val="single" w:sz="8" w:space="0" w:color="7F7F7F"/>
              <w:right w:val="single" w:sz="8" w:space="0" w:color="7F7F7F"/>
            </w:tcBorders>
          </w:tcPr>
          <w:p>
            <w:pPr>
              <w:pStyle w:val="TableParagraph"/>
              <w:spacing w:line="192" w:lineRule="exact" w:before="7"/>
              <w:ind w:left="107" w:right="471"/>
              <w:rPr>
                <w:b/>
                <w:sz w:val="16"/>
              </w:rPr>
            </w:pPr>
            <w:r>
              <w:rPr>
                <w:b/>
                <w:sz w:val="16"/>
              </w:rPr>
              <w:t>Consumo Diario</w:t>
            </w:r>
          </w:p>
        </w:tc>
        <w:tc>
          <w:tcPr>
            <w:tcW w:w="1013" w:type="dxa"/>
            <w:tcBorders>
              <w:top w:val="single" w:sz="8" w:space="0" w:color="7F7F7F"/>
              <w:left w:val="single" w:sz="8" w:space="0" w:color="7F7F7F"/>
              <w:bottom w:val="single" w:sz="8" w:space="0" w:color="7F7F7F"/>
              <w:right w:val="single" w:sz="8" w:space="0" w:color="7F7F7F"/>
            </w:tcBorders>
          </w:tcPr>
          <w:p>
            <w:pPr>
              <w:pStyle w:val="TableParagraph"/>
              <w:ind w:left="349"/>
              <w:rPr>
                <w:b/>
                <w:sz w:val="16"/>
              </w:rPr>
            </w:pPr>
            <w:r>
              <w:rPr>
                <w:b/>
                <w:sz w:val="16"/>
              </w:rPr>
              <w:t>17,324</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ind w:left="479"/>
              <w:rPr>
                <w:b/>
                <w:sz w:val="16"/>
              </w:rPr>
            </w:pPr>
            <w:r>
              <w:rPr>
                <w:b/>
                <w:sz w:val="16"/>
              </w:rPr>
              <w:t>20,273</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ind w:right="80"/>
              <w:jc w:val="right"/>
              <w:rPr>
                <w:b/>
                <w:sz w:val="16"/>
              </w:rPr>
            </w:pPr>
            <w:r>
              <w:rPr>
                <w:b/>
                <w:sz w:val="16"/>
              </w:rPr>
              <w:t>30,685</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ind w:left="581"/>
              <w:rPr>
                <w:b/>
                <w:sz w:val="16"/>
              </w:rPr>
            </w:pPr>
            <w:r>
              <w:rPr>
                <w:b/>
                <w:sz w:val="16"/>
              </w:rPr>
              <w:t>9,315</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ind w:right="81"/>
              <w:jc w:val="right"/>
              <w:rPr>
                <w:b/>
                <w:sz w:val="16"/>
              </w:rPr>
            </w:pPr>
            <w:r>
              <w:rPr>
                <w:b/>
                <w:sz w:val="16"/>
              </w:rPr>
              <w:t>31,506</w:t>
            </w:r>
          </w:p>
        </w:tc>
        <w:tc>
          <w:tcPr>
            <w:tcW w:w="1145" w:type="dxa"/>
            <w:tcBorders>
              <w:top w:val="single" w:sz="8" w:space="0" w:color="7F7F7F"/>
              <w:left w:val="single" w:sz="8" w:space="0" w:color="7F7F7F"/>
              <w:bottom w:val="single" w:sz="8" w:space="0" w:color="7F7F7F"/>
              <w:right w:val="single" w:sz="8" w:space="0" w:color="7F7F7F"/>
            </w:tcBorders>
          </w:tcPr>
          <w:p>
            <w:pPr>
              <w:pStyle w:val="TableParagraph"/>
              <w:ind w:left="580"/>
              <w:rPr>
                <w:b/>
                <w:sz w:val="16"/>
              </w:rPr>
            </w:pPr>
            <w:r>
              <w:rPr>
                <w:b/>
                <w:sz w:val="16"/>
              </w:rPr>
              <w:t>5,479</w:t>
            </w:r>
          </w:p>
        </w:tc>
        <w:tc>
          <w:tcPr>
            <w:tcW w:w="1143" w:type="dxa"/>
            <w:tcBorders>
              <w:top w:val="single" w:sz="8" w:space="0" w:color="7F7F7F"/>
              <w:left w:val="single" w:sz="8" w:space="0" w:color="7F7F7F"/>
              <w:bottom w:val="single" w:sz="8" w:space="0" w:color="7F7F7F"/>
              <w:right w:val="single" w:sz="8" w:space="0" w:color="7F7F7F"/>
            </w:tcBorders>
          </w:tcPr>
          <w:p>
            <w:pPr>
              <w:pStyle w:val="TableParagraph"/>
              <w:ind w:left="479"/>
              <w:rPr>
                <w:b/>
                <w:sz w:val="16"/>
              </w:rPr>
            </w:pPr>
            <w:r>
              <w:rPr>
                <w:b/>
                <w:sz w:val="16"/>
              </w:rPr>
              <w:t>43,835</w:t>
            </w:r>
          </w:p>
        </w:tc>
        <w:tc>
          <w:tcPr>
            <w:tcW w:w="1145" w:type="dxa"/>
            <w:tcBorders>
              <w:top w:val="single" w:sz="8" w:space="0" w:color="7F7F7F"/>
              <w:left w:val="single" w:sz="8" w:space="0" w:color="7F7F7F"/>
              <w:bottom w:val="single" w:sz="8" w:space="0" w:color="7F7F7F"/>
            </w:tcBorders>
          </w:tcPr>
          <w:p>
            <w:pPr>
              <w:pStyle w:val="TableParagraph"/>
              <w:rPr>
                <w:rFonts w:ascii="Times New Roman"/>
                <w:sz w:val="22"/>
              </w:rPr>
            </w:pPr>
          </w:p>
        </w:tc>
      </w:tr>
      <w:tr>
        <w:trPr>
          <w:trHeight w:val="190" w:hRule="atLeast"/>
        </w:trPr>
        <w:tc>
          <w:tcPr>
            <w:tcW w:w="1368" w:type="dxa"/>
            <w:tcBorders>
              <w:top w:val="single" w:sz="8" w:space="0" w:color="7F7F7F"/>
              <w:right w:val="single" w:sz="8" w:space="0" w:color="7F7F7F"/>
            </w:tcBorders>
          </w:tcPr>
          <w:p>
            <w:pPr>
              <w:pStyle w:val="TableParagraph"/>
              <w:rPr>
                <w:rFonts w:ascii="Times New Roman"/>
                <w:sz w:val="12"/>
              </w:rPr>
            </w:pPr>
          </w:p>
        </w:tc>
        <w:tc>
          <w:tcPr>
            <w:tcW w:w="1013"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3" w:type="dxa"/>
            <w:tcBorders>
              <w:top w:val="single" w:sz="8" w:space="0" w:color="7F7F7F"/>
              <w:left w:val="single" w:sz="8" w:space="0" w:color="7F7F7F"/>
              <w:right w:val="single" w:sz="8" w:space="0" w:color="7F7F7F"/>
            </w:tcBorders>
          </w:tcPr>
          <w:p>
            <w:pPr>
              <w:pStyle w:val="TableParagraph"/>
              <w:rPr>
                <w:rFonts w:ascii="Times New Roman"/>
                <w:sz w:val="12"/>
              </w:rPr>
            </w:pPr>
          </w:p>
        </w:tc>
        <w:tc>
          <w:tcPr>
            <w:tcW w:w="1145" w:type="dxa"/>
            <w:tcBorders>
              <w:top w:val="single" w:sz="8" w:space="0" w:color="7F7F7F"/>
              <w:left w:val="single" w:sz="8" w:space="0" w:color="7F7F7F"/>
            </w:tcBorders>
          </w:tcPr>
          <w:p>
            <w:pPr>
              <w:pStyle w:val="TableParagraph"/>
              <w:rPr>
                <w:rFonts w:ascii="Times New Roman"/>
                <w:sz w:val="12"/>
              </w:rPr>
            </w:pPr>
          </w:p>
        </w:tc>
      </w:tr>
    </w:tbl>
    <w:p>
      <w:pPr>
        <w:spacing w:line="241" w:lineRule="exact" w:before="0"/>
        <w:ind w:left="239" w:right="0" w:firstLine="0"/>
        <w:jc w:val="both"/>
        <w:rPr>
          <w:sz w:val="20"/>
        </w:rPr>
      </w:pPr>
      <w:r>
        <w:rPr>
          <w:sz w:val="20"/>
        </w:rPr>
        <w:t>Fuente: REFIDOMSA, XSTRATA Nickel - Falcondo, Organismo Coordinador del sector eléctrico, 2006</w:t>
      </w:r>
    </w:p>
    <w:p>
      <w:pPr>
        <w:pStyle w:val="BodyText"/>
        <w:spacing w:before="7"/>
        <w:rPr>
          <w:sz w:val="25"/>
        </w:rPr>
      </w:pPr>
    </w:p>
    <w:p>
      <w:pPr>
        <w:pStyle w:val="Heading3"/>
        <w:ind w:left="1320"/>
        <w:rPr>
          <w:i/>
        </w:rPr>
      </w:pPr>
      <w:bookmarkStart w:name="_TOC_250061" w:id="38"/>
      <w:r>
        <w:rPr>
          <w:i/>
          <w:w w:val="110"/>
        </w:rPr>
        <w:t>Estrategia de almacenamiento de</w:t>
      </w:r>
      <w:r>
        <w:rPr>
          <w:i/>
          <w:spacing w:val="-54"/>
          <w:w w:val="110"/>
        </w:rPr>
        <w:t> </w:t>
      </w:r>
      <w:bookmarkEnd w:id="38"/>
      <w:r>
        <w:rPr>
          <w:i/>
          <w:w w:val="110"/>
        </w:rPr>
        <w:t>combustibles</w:t>
      </w:r>
    </w:p>
    <w:p>
      <w:pPr>
        <w:pStyle w:val="BodyText"/>
        <w:spacing w:before="1"/>
        <w:rPr>
          <w:rFonts w:ascii="Times New Roman"/>
          <w:b/>
          <w:i/>
          <w:sz w:val="24"/>
        </w:rPr>
      </w:pPr>
    </w:p>
    <w:p>
      <w:pPr>
        <w:pStyle w:val="ListParagraph"/>
        <w:numPr>
          <w:ilvl w:val="0"/>
          <w:numId w:val="45"/>
        </w:numPr>
        <w:tabs>
          <w:tab w:pos="673" w:val="left" w:leader="none"/>
        </w:tabs>
        <w:spacing w:line="240" w:lineRule="auto" w:before="0" w:after="0"/>
        <w:ind w:left="600" w:right="1054" w:hanging="360"/>
        <w:jc w:val="both"/>
        <w:rPr>
          <w:sz w:val="23"/>
        </w:rPr>
      </w:pPr>
      <w:r>
        <w:rPr/>
        <w:tab/>
      </w:r>
      <w:r>
        <w:rPr>
          <w:sz w:val="23"/>
        </w:rPr>
        <w:t>De forma inmediata, debe realizarse un estudio específico sobre la capacidad de almacenamiento y su óptima distribución en el territorio nacional y al mismo tiempo sobre la determinación de la Reserva Estratégica óptima desde el punto de vista económico.</w:t>
      </w:r>
    </w:p>
    <w:p>
      <w:pPr>
        <w:pStyle w:val="BodyText"/>
        <w:spacing w:before="11"/>
        <w:rPr>
          <w:sz w:val="22"/>
        </w:rPr>
      </w:pPr>
    </w:p>
    <w:p>
      <w:pPr>
        <w:pStyle w:val="ListParagraph"/>
        <w:numPr>
          <w:ilvl w:val="0"/>
          <w:numId w:val="45"/>
        </w:numPr>
        <w:tabs>
          <w:tab w:pos="601" w:val="left" w:leader="none"/>
        </w:tabs>
        <w:spacing w:line="240" w:lineRule="auto" w:before="1" w:after="0"/>
        <w:ind w:left="600" w:right="1055" w:hanging="360"/>
        <w:jc w:val="both"/>
        <w:rPr>
          <w:sz w:val="23"/>
        </w:rPr>
      </w:pPr>
      <w:r>
        <w:rPr>
          <w:sz w:val="23"/>
        </w:rPr>
        <w:t>Construir la capacidad de almacenamiento regional de respaldo para cubrir los faltantes en la zona norte del país con 30% de la demanda; la zona turística este que concentra el 14% y la zona sur con el</w:t>
      </w:r>
      <w:r>
        <w:rPr>
          <w:spacing w:val="1"/>
          <w:sz w:val="23"/>
        </w:rPr>
        <w:t> </w:t>
      </w:r>
      <w:r>
        <w:rPr>
          <w:sz w:val="23"/>
        </w:rPr>
        <w:t>6%.</w:t>
      </w:r>
    </w:p>
    <w:p>
      <w:pPr>
        <w:pStyle w:val="BodyText"/>
      </w:pPr>
    </w:p>
    <w:p>
      <w:pPr>
        <w:pStyle w:val="ListParagraph"/>
        <w:numPr>
          <w:ilvl w:val="0"/>
          <w:numId w:val="45"/>
        </w:numPr>
        <w:tabs>
          <w:tab w:pos="601" w:val="left" w:leader="none"/>
        </w:tabs>
        <w:spacing w:line="240" w:lineRule="auto" w:before="0" w:after="0"/>
        <w:ind w:left="600" w:right="1061" w:hanging="360"/>
        <w:jc w:val="both"/>
        <w:rPr>
          <w:sz w:val="23"/>
        </w:rPr>
      </w:pPr>
      <w:r>
        <w:rPr>
          <w:sz w:val="23"/>
        </w:rPr>
        <w:t>Construir la capacidad de almacenamiento para cubrir el déficit de capacidad de almacenamiento del GLP, Avtur y</w:t>
      </w:r>
      <w:r>
        <w:rPr>
          <w:spacing w:val="-2"/>
          <w:sz w:val="23"/>
        </w:rPr>
        <w:t> </w:t>
      </w:r>
      <w:r>
        <w:rPr>
          <w:sz w:val="23"/>
        </w:rPr>
        <w:t>nafta.</w:t>
      </w:r>
    </w:p>
    <w:p>
      <w:pPr>
        <w:pStyle w:val="BodyText"/>
      </w:pPr>
    </w:p>
    <w:p>
      <w:pPr>
        <w:pStyle w:val="ListParagraph"/>
        <w:numPr>
          <w:ilvl w:val="0"/>
          <w:numId w:val="45"/>
        </w:numPr>
        <w:tabs>
          <w:tab w:pos="601" w:val="left" w:leader="none"/>
        </w:tabs>
        <w:spacing w:line="240" w:lineRule="auto" w:before="0" w:after="0"/>
        <w:ind w:left="600" w:right="1054" w:hanging="360"/>
        <w:jc w:val="both"/>
        <w:rPr>
          <w:sz w:val="23"/>
        </w:rPr>
      </w:pPr>
      <w:r>
        <w:rPr>
          <w:sz w:val="23"/>
        </w:rPr>
        <w:t>Elaborar la normativa para remunerar el almacenamiento de combustibles como un eslabón independiente de la cadena de abastecimiento y, particularmente, establecer el concepto de “Reserva Estratégica Remunerada“ que podría constituirse en una “Reserva de Seguridad Remunerada” para hacer frente a las posibles interrupciones al suministro a la Isla en condiciones de “huracán categoría 5”. Esta reserva estratégica debe definirse para los combustibles y para el petróleo crudo en cabeza de los importadores y la refinería. La reserva estratégica tiene un costo de inmovilización de inventario, que  en el actual sistema regulado de precios vigente en RD será afrontado por los consumidores como un incremento en el</w:t>
      </w:r>
      <w:r>
        <w:rPr>
          <w:spacing w:val="-9"/>
          <w:sz w:val="23"/>
        </w:rPr>
        <w:t> </w:t>
      </w:r>
      <w:r>
        <w:rPr>
          <w:sz w:val="23"/>
        </w:rPr>
        <w:t>PPI.</w:t>
      </w:r>
    </w:p>
    <w:p>
      <w:pPr>
        <w:pStyle w:val="BodyText"/>
        <w:rPr>
          <w:sz w:val="28"/>
        </w:rPr>
      </w:pPr>
    </w:p>
    <w:p>
      <w:pPr>
        <w:pStyle w:val="Heading4"/>
        <w:numPr>
          <w:ilvl w:val="2"/>
          <w:numId w:val="17"/>
        </w:numPr>
        <w:tabs>
          <w:tab w:pos="1319" w:val="left" w:leader="none"/>
          <w:tab w:pos="1320" w:val="left" w:leader="none"/>
        </w:tabs>
        <w:spacing w:line="240" w:lineRule="auto" w:before="219" w:after="0"/>
        <w:ind w:left="1319" w:right="0" w:hanging="1080"/>
        <w:jc w:val="left"/>
      </w:pPr>
      <w:bookmarkStart w:name="_TOC_250060" w:id="39"/>
      <w:r>
        <w:rPr/>
        <w:t>Promoción de una refinería de alta</w:t>
      </w:r>
      <w:r>
        <w:rPr>
          <w:spacing w:val="-1"/>
        </w:rPr>
        <w:t> </w:t>
      </w:r>
      <w:bookmarkEnd w:id="39"/>
      <w:r>
        <w:rPr/>
        <w:t>conversión</w:t>
      </w:r>
    </w:p>
    <w:p>
      <w:pPr>
        <w:pStyle w:val="BodyText"/>
        <w:spacing w:before="4"/>
        <w:rPr>
          <w:rFonts w:ascii="Verdana"/>
          <w:b/>
        </w:rPr>
      </w:pPr>
    </w:p>
    <w:p>
      <w:pPr>
        <w:pStyle w:val="Heading3"/>
        <w:rPr>
          <w:i/>
        </w:rPr>
      </w:pPr>
      <w:bookmarkStart w:name="_TOC_250059" w:id="40"/>
      <w:bookmarkEnd w:id="40"/>
      <w:r>
        <w:rPr>
          <w:i/>
          <w:w w:val="110"/>
        </w:rPr>
        <w:t>Situación actual de la refinación</w:t>
      </w:r>
    </w:p>
    <w:p>
      <w:pPr>
        <w:pStyle w:val="BodyText"/>
        <w:spacing w:before="1"/>
        <w:rPr>
          <w:rFonts w:ascii="Times New Roman"/>
          <w:b/>
          <w:i/>
          <w:sz w:val="24"/>
        </w:rPr>
      </w:pPr>
    </w:p>
    <w:p>
      <w:pPr>
        <w:pStyle w:val="BodyText"/>
        <w:spacing w:before="1"/>
        <w:ind w:left="240" w:right="1056"/>
        <w:jc w:val="both"/>
      </w:pPr>
      <w:r>
        <w:rPr/>
        <w:t>Existen en la República Dominicana dos refinerías de petróleo: Refinería Dominicana de Petróleo, S.A. (REFIDOMSA) y XSTRATA NICKEL - FALCONDO.</w:t>
      </w:r>
    </w:p>
    <w:p>
      <w:pPr>
        <w:pStyle w:val="BodyText"/>
        <w:spacing w:before="11"/>
        <w:rPr>
          <w:sz w:val="22"/>
        </w:rPr>
      </w:pPr>
    </w:p>
    <w:p>
      <w:pPr>
        <w:pStyle w:val="BodyText"/>
        <w:spacing w:before="1"/>
        <w:ind w:left="240" w:right="1053"/>
        <w:jc w:val="both"/>
      </w:pPr>
      <w:r>
        <w:rPr/>
        <w:t>La Refinería Dominicana de Petróleo, S. A. fue creada mediante el Convenio de Refinería suscrito entre el Estado Dominicano y Shell International Petroleum Company Limited, en fecha 7 de noviembre de 1969. El capital accionario inicial de la Compañía Refinadora de US$ 7,600,000 fue aportado por sus socios Shell International Petroleum Company Limited y el Estado Dominicano. En el año 2009 el estado dominicano compró la participación de la Shell, la cual fue traspasada posteriormente en 2010 al gobierno de</w:t>
      </w:r>
      <w:r>
        <w:rPr>
          <w:spacing w:val="-11"/>
        </w:rPr>
        <w:t> </w:t>
      </w:r>
      <w:r>
        <w:rPr/>
        <w:t>Venezuela.</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5"/>
        <w:jc w:val="both"/>
      </w:pPr>
      <w:r>
        <w:rPr/>
        <w:t>REFIDOMSA realiza dos negocios: refinación e importación de derivados. De estos dos centros de negocios el de importación es el más importante.</w:t>
      </w:r>
    </w:p>
    <w:p>
      <w:pPr>
        <w:pStyle w:val="BodyText"/>
      </w:pPr>
    </w:p>
    <w:p>
      <w:pPr>
        <w:pStyle w:val="BodyText"/>
        <w:ind w:left="239" w:right="1054"/>
        <w:jc w:val="both"/>
      </w:pPr>
      <w:r>
        <w:rPr/>
        <w:t>La refinería está ubicada en la parte sur de la isla, entre los Municipios de Haina y Nigua. Las facilidades para la importación y almacenaje del crudo están ubicadas en el Municipio de Nizao, unos 27 Km. al suroeste de la</w:t>
      </w:r>
      <w:r>
        <w:rPr>
          <w:spacing w:val="-4"/>
        </w:rPr>
        <w:t> </w:t>
      </w:r>
      <w:r>
        <w:rPr/>
        <w:t>Refinería.</w:t>
      </w:r>
    </w:p>
    <w:p>
      <w:pPr>
        <w:pStyle w:val="BodyText"/>
      </w:pPr>
    </w:p>
    <w:p>
      <w:pPr>
        <w:pStyle w:val="BodyText"/>
        <w:ind w:left="239" w:right="1054"/>
        <w:jc w:val="both"/>
      </w:pPr>
      <w:r>
        <w:rPr/>
        <w:t>REFIDOMSA es una refinería relativamente pequeña, de baja conversión, con una capacidad máxima de producción de 34,500 barriles por día (b/d), cargada con crudos reconstituidos. En los últimos 10 años la producción promedio anual de derivados en REFIDOMSA ha sido la siguiente: fuel oil 4.0 MBbl (36.2%); diesel 2.8 MBbl (25.2%); gasolina</w:t>
      </w:r>
      <w:r>
        <w:rPr>
          <w:spacing w:val="14"/>
        </w:rPr>
        <w:t> </w:t>
      </w:r>
      <w:r>
        <w:rPr/>
        <w:t>regular</w:t>
      </w:r>
      <w:r>
        <w:rPr>
          <w:spacing w:val="16"/>
        </w:rPr>
        <w:t> </w:t>
      </w:r>
      <w:r>
        <w:rPr/>
        <w:t>2.0</w:t>
      </w:r>
      <w:r>
        <w:rPr>
          <w:spacing w:val="15"/>
        </w:rPr>
        <w:t> </w:t>
      </w:r>
      <w:r>
        <w:rPr/>
        <w:t>MBbl</w:t>
      </w:r>
      <w:r>
        <w:rPr>
          <w:spacing w:val="15"/>
        </w:rPr>
        <w:t> </w:t>
      </w:r>
      <w:r>
        <w:rPr/>
        <w:t>(18.1%);</w:t>
      </w:r>
      <w:r>
        <w:rPr>
          <w:spacing w:val="16"/>
        </w:rPr>
        <w:t> </w:t>
      </w:r>
      <w:r>
        <w:rPr/>
        <w:t>avtur</w:t>
      </w:r>
      <w:r>
        <w:rPr>
          <w:spacing w:val="13"/>
        </w:rPr>
        <w:t> </w:t>
      </w:r>
      <w:r>
        <w:rPr/>
        <w:t>y</w:t>
      </w:r>
      <w:r>
        <w:rPr>
          <w:spacing w:val="16"/>
        </w:rPr>
        <w:t> </w:t>
      </w:r>
      <w:r>
        <w:rPr/>
        <w:t>kero</w:t>
      </w:r>
      <w:r>
        <w:rPr>
          <w:spacing w:val="15"/>
        </w:rPr>
        <w:t> </w:t>
      </w:r>
      <w:r>
        <w:rPr/>
        <w:t>1.8</w:t>
      </w:r>
      <w:r>
        <w:rPr>
          <w:spacing w:val="12"/>
        </w:rPr>
        <w:t> </w:t>
      </w:r>
      <w:r>
        <w:rPr/>
        <w:t>MBbl</w:t>
      </w:r>
      <w:r>
        <w:rPr>
          <w:spacing w:val="16"/>
        </w:rPr>
        <w:t> </w:t>
      </w:r>
      <w:r>
        <w:rPr/>
        <w:t>(15.9%);</w:t>
      </w:r>
      <w:r>
        <w:rPr>
          <w:spacing w:val="15"/>
        </w:rPr>
        <w:t> </w:t>
      </w:r>
      <w:r>
        <w:rPr/>
        <w:t>GLP</w:t>
      </w:r>
      <w:r>
        <w:rPr>
          <w:spacing w:val="16"/>
        </w:rPr>
        <w:t> </w:t>
      </w:r>
      <w:r>
        <w:rPr/>
        <w:t>0.4</w:t>
      </w:r>
      <w:r>
        <w:rPr>
          <w:spacing w:val="14"/>
        </w:rPr>
        <w:t> </w:t>
      </w:r>
      <w:r>
        <w:rPr/>
        <w:t>MBbl</w:t>
      </w:r>
      <w:r>
        <w:rPr>
          <w:spacing w:val="16"/>
        </w:rPr>
        <w:t> </w:t>
      </w:r>
      <w:r>
        <w:rPr/>
        <w:t>(3.7%);</w:t>
      </w:r>
    </w:p>
    <w:p>
      <w:pPr>
        <w:pStyle w:val="BodyText"/>
        <w:spacing w:before="2"/>
        <w:ind w:left="239"/>
        <w:jc w:val="both"/>
      </w:pPr>
      <w:r>
        <w:rPr/>
        <w:t>gasolina premium 0.3 MBbl (2.4%).</w:t>
      </w:r>
    </w:p>
    <w:p>
      <w:pPr>
        <w:pStyle w:val="BodyText"/>
        <w:spacing w:before="11"/>
        <w:rPr>
          <w:sz w:val="22"/>
        </w:rPr>
      </w:pPr>
    </w:p>
    <w:p>
      <w:pPr>
        <w:pStyle w:val="BodyText"/>
        <w:ind w:left="239" w:right="1055"/>
        <w:jc w:val="both"/>
      </w:pPr>
      <w:r>
        <w:rPr/>
        <w:t>Sin lugar a dudas REFIDOMSA ha demostrado ser una sociedad rentable para sus accionistas, lo cual queda demostrado a través de los beneficios de la empresa y el pago de dividendos en forma creciente y permanente.</w:t>
      </w:r>
    </w:p>
    <w:p>
      <w:pPr>
        <w:pStyle w:val="BodyText"/>
        <w:spacing w:before="1"/>
      </w:pPr>
    </w:p>
    <w:p>
      <w:pPr>
        <w:pStyle w:val="BodyText"/>
        <w:ind w:left="239" w:right="1053"/>
        <w:jc w:val="both"/>
      </w:pPr>
      <w:r>
        <w:rPr/>
        <w:t>XSTRATA Nickel - Falcondo, es una empresa minera dedicada a la explotación de ferro- níquel. Se abastece de petróleo a través de un oleoducto de 77 Km. desde el Puerto de Haina, hasta el Municipio de Bonao. Esta empresa tiene una capacidad de refinación de 16,000 b/d. Procesa una mezcla de crudos livianos (30%) y pesados (70%). Los derivados que obtiene esta refinería son: fuel oil (58%) y nafta y diesel (42%).</w:t>
      </w:r>
    </w:p>
    <w:p>
      <w:pPr>
        <w:pStyle w:val="BodyText"/>
      </w:pPr>
    </w:p>
    <w:p>
      <w:pPr>
        <w:pStyle w:val="BodyText"/>
        <w:ind w:left="239" w:right="1055"/>
        <w:jc w:val="both"/>
      </w:pPr>
      <w:r>
        <w:rPr/>
        <w:t>El fuel oil es utilizado para alimentar la planta termoeléctrica y la Nafta para las plantas de procesamiento ó beneficio metalúrgico de reducción y preparación del ferroníquel. El gasoil/diesel se utiliza para sus propios equipos móviles.</w:t>
      </w:r>
    </w:p>
    <w:p>
      <w:pPr>
        <w:pStyle w:val="BodyText"/>
        <w:spacing w:before="5"/>
      </w:pPr>
    </w:p>
    <w:p>
      <w:pPr>
        <w:pStyle w:val="Heading3"/>
        <w:rPr>
          <w:i/>
        </w:rPr>
      </w:pPr>
      <w:bookmarkStart w:name="_TOC_250058" w:id="41"/>
      <w:bookmarkEnd w:id="41"/>
      <w:r>
        <w:rPr>
          <w:i/>
          <w:w w:val="110"/>
        </w:rPr>
        <w:t>Estrategia de refinación</w:t>
      </w:r>
    </w:p>
    <w:p>
      <w:pPr>
        <w:pStyle w:val="BodyText"/>
        <w:spacing w:before="1"/>
        <w:rPr>
          <w:rFonts w:ascii="Times New Roman"/>
          <w:b/>
          <w:i/>
          <w:sz w:val="24"/>
        </w:rPr>
      </w:pPr>
    </w:p>
    <w:p>
      <w:pPr>
        <w:pStyle w:val="BodyText"/>
        <w:ind w:left="239" w:right="1054"/>
        <w:jc w:val="both"/>
      </w:pPr>
      <w:r>
        <w:rPr/>
        <w:t>El elemento esencial sobre la política de refinación es si se debe construir una nueva refinería de alta conversión para atender el mercado interno y exportar a los países del Caribe y a la Costa este de EU. Los siguientes son los criterios que definen la política:</w:t>
      </w:r>
    </w:p>
    <w:p>
      <w:pPr>
        <w:pStyle w:val="BodyText"/>
        <w:spacing w:before="1"/>
      </w:pPr>
    </w:p>
    <w:p>
      <w:pPr>
        <w:pStyle w:val="ListParagraph"/>
        <w:numPr>
          <w:ilvl w:val="0"/>
          <w:numId w:val="46"/>
        </w:numPr>
        <w:tabs>
          <w:tab w:pos="600" w:val="left" w:leader="none"/>
        </w:tabs>
        <w:spacing w:line="240" w:lineRule="auto" w:before="0" w:after="0"/>
        <w:ind w:left="599" w:right="1054" w:hanging="360"/>
        <w:jc w:val="both"/>
        <w:rPr>
          <w:sz w:val="23"/>
        </w:rPr>
      </w:pPr>
      <w:r>
        <w:rPr>
          <w:sz w:val="23"/>
        </w:rPr>
        <w:t>Existe una propuesta, a nivel de idea-proyecto, de la CNE para una nueva refinería que cubrá la demanda nacional y comercializar excedentes en el mercado regional; básicamente el correspondiente al de la costa este de los Estados Unidos, con una capacidad de alta conversión de 200,000 BPD, localizada en Manzanillo, un período de instalación de 3 años y una vida útil de 30 años. Manzanillo presenta condiciones ideales de localización al norte del país, con menos impacto de los huracanes, más cerca a la costa este de Estados Unidos y con condiciones ideales de puerto marítimo para cargue y descargue. Así mismo permitiría la diversificación geográfica de la oferta de combustibles para el mercado</w:t>
      </w:r>
      <w:r>
        <w:rPr>
          <w:spacing w:val="-4"/>
          <w:sz w:val="23"/>
        </w:rPr>
        <w:t> </w:t>
      </w:r>
      <w:r>
        <w:rPr>
          <w:sz w:val="23"/>
        </w:rPr>
        <w:t>interno.</w:t>
      </w:r>
    </w:p>
    <w:p>
      <w:pPr>
        <w:spacing w:after="0" w:line="240" w:lineRule="auto"/>
        <w:jc w:val="both"/>
        <w:rPr>
          <w:sz w:val="23"/>
        </w:rPr>
        <w:sectPr>
          <w:pgSz w:w="12240" w:h="15840"/>
          <w:pgMar w:header="718" w:footer="954" w:top="1360" w:bottom="1140" w:left="1200" w:right="380"/>
        </w:sectPr>
      </w:pPr>
    </w:p>
    <w:p>
      <w:pPr>
        <w:pStyle w:val="BodyText"/>
        <w:spacing w:before="4"/>
        <w:rPr>
          <w:sz w:val="11"/>
        </w:rPr>
      </w:pPr>
    </w:p>
    <w:p>
      <w:pPr>
        <w:pStyle w:val="ListParagraph"/>
        <w:numPr>
          <w:ilvl w:val="0"/>
          <w:numId w:val="46"/>
        </w:numPr>
        <w:tabs>
          <w:tab w:pos="600" w:val="left" w:leader="none"/>
        </w:tabs>
        <w:spacing w:line="240" w:lineRule="auto" w:before="101" w:after="0"/>
        <w:ind w:left="600" w:right="1055" w:hanging="360"/>
        <w:jc w:val="both"/>
        <w:rPr>
          <w:sz w:val="23"/>
        </w:rPr>
      </w:pPr>
      <w:r>
        <w:rPr>
          <w:sz w:val="23"/>
        </w:rPr>
        <w:t>Teniendo en cuenta que el desarrollo del proyecto se trata de una idea-proyecto preliminar; se deben profundizar los estudios a nivel de pre factibilidad para tener elementos de juicio objetivos que permitan avanzar o desechar la idea. La CNE debe contratar el estudio de pre factibilidad para dar inicio al proyecto. Este estudio debe contener dentro de sus resultados el programa de promoción internacional y los incentivos para atraer inversionistas</w:t>
      </w:r>
      <w:r>
        <w:rPr>
          <w:spacing w:val="-2"/>
          <w:sz w:val="23"/>
        </w:rPr>
        <w:t> </w:t>
      </w:r>
      <w:r>
        <w:rPr>
          <w:sz w:val="23"/>
        </w:rPr>
        <w:t>privados.</w:t>
      </w:r>
    </w:p>
    <w:p>
      <w:pPr>
        <w:pStyle w:val="BodyText"/>
      </w:pPr>
    </w:p>
    <w:p>
      <w:pPr>
        <w:pStyle w:val="ListParagraph"/>
        <w:numPr>
          <w:ilvl w:val="0"/>
          <w:numId w:val="46"/>
        </w:numPr>
        <w:tabs>
          <w:tab w:pos="600" w:val="left" w:leader="none"/>
        </w:tabs>
        <w:spacing w:line="240" w:lineRule="auto" w:before="0" w:after="0"/>
        <w:ind w:left="599" w:right="1055" w:hanging="360"/>
        <w:jc w:val="both"/>
        <w:rPr>
          <w:sz w:val="23"/>
        </w:rPr>
      </w:pPr>
      <w:r>
        <w:rPr>
          <w:sz w:val="23"/>
        </w:rPr>
        <w:t>Para el estudio de pre factibilidad debe buscarse la financiación de organismos internacionales.</w:t>
      </w:r>
    </w:p>
    <w:p>
      <w:pPr>
        <w:pStyle w:val="BodyText"/>
      </w:pPr>
    </w:p>
    <w:p>
      <w:pPr>
        <w:pStyle w:val="ListParagraph"/>
        <w:numPr>
          <w:ilvl w:val="0"/>
          <w:numId w:val="46"/>
        </w:numPr>
        <w:tabs>
          <w:tab w:pos="600" w:val="left" w:leader="none"/>
        </w:tabs>
        <w:spacing w:line="240" w:lineRule="auto" w:before="0" w:after="0"/>
        <w:ind w:left="599" w:right="1055" w:hanging="360"/>
        <w:jc w:val="both"/>
        <w:rPr>
          <w:sz w:val="23"/>
        </w:rPr>
      </w:pPr>
      <w:r>
        <w:rPr>
          <w:sz w:val="23"/>
        </w:rPr>
        <w:t>Dentro del estudio de pre factibilidad se debe hacer un análisis comparado de la normativa para la instalación de Refinerías en RD y en los países del la región, y entre estos y la normativa vigente en USA, para dejar en claro si las ventajas comparativas de un proyecto de esta naturaleza en RD están dadas por “cuestiones ambientales” y de localización.</w:t>
      </w:r>
    </w:p>
    <w:p>
      <w:pPr>
        <w:pStyle w:val="BodyText"/>
      </w:pPr>
    </w:p>
    <w:p>
      <w:pPr>
        <w:pStyle w:val="ListParagraph"/>
        <w:numPr>
          <w:ilvl w:val="0"/>
          <w:numId w:val="46"/>
        </w:numPr>
        <w:tabs>
          <w:tab w:pos="600" w:val="left" w:leader="none"/>
        </w:tabs>
        <w:spacing w:line="240" w:lineRule="auto" w:before="0" w:after="0"/>
        <w:ind w:left="599" w:right="1056" w:hanging="360"/>
        <w:jc w:val="both"/>
        <w:rPr>
          <w:sz w:val="23"/>
        </w:rPr>
      </w:pPr>
      <w:r>
        <w:rPr>
          <w:sz w:val="23"/>
        </w:rPr>
        <w:t>El estudio de FACTIBILIDAD deben realizarlo los inversionistas interesados en el desarrollo del</w:t>
      </w:r>
      <w:r>
        <w:rPr>
          <w:spacing w:val="-1"/>
          <w:sz w:val="23"/>
        </w:rPr>
        <w:t> </w:t>
      </w:r>
      <w:r>
        <w:rPr>
          <w:sz w:val="23"/>
        </w:rPr>
        <w:t>proyecto.</w:t>
      </w:r>
    </w:p>
    <w:p>
      <w:pPr>
        <w:pStyle w:val="BodyText"/>
      </w:pPr>
    </w:p>
    <w:p>
      <w:pPr>
        <w:pStyle w:val="ListParagraph"/>
        <w:numPr>
          <w:ilvl w:val="0"/>
          <w:numId w:val="46"/>
        </w:numPr>
        <w:tabs>
          <w:tab w:pos="600" w:val="left" w:leader="none"/>
        </w:tabs>
        <w:spacing w:line="240" w:lineRule="auto" w:before="0" w:after="0"/>
        <w:ind w:left="599" w:right="1053" w:hanging="360"/>
        <w:jc w:val="both"/>
        <w:rPr>
          <w:sz w:val="23"/>
        </w:rPr>
      </w:pPr>
      <w:r>
        <w:rPr>
          <w:sz w:val="23"/>
        </w:rPr>
        <w:t>El proyecto tiene indudablemente atractivos, pero también enfrenta riesgos considerables: República Dominicana no tiene asegurado ni el suministro de la materia prima (crudo); ni el mercado para los subproductos. En estos aspectos depende del mercado del crudo y del precio de productos y calidades producidas; será por lo tanto tomador de precios y en consecuencia, los márgenes resultantes entre la compra de la materia prima y los precios de venta de los productos determinará la viabilidad del proyecto.</w:t>
      </w:r>
    </w:p>
    <w:p>
      <w:pPr>
        <w:pStyle w:val="BodyText"/>
        <w:spacing w:before="2"/>
      </w:pPr>
    </w:p>
    <w:p>
      <w:pPr>
        <w:pStyle w:val="ListParagraph"/>
        <w:numPr>
          <w:ilvl w:val="0"/>
          <w:numId w:val="46"/>
        </w:numPr>
        <w:tabs>
          <w:tab w:pos="600" w:val="left" w:leader="none"/>
        </w:tabs>
        <w:spacing w:line="240" w:lineRule="auto" w:before="0" w:after="0"/>
        <w:ind w:left="599" w:right="1054" w:hanging="360"/>
        <w:jc w:val="both"/>
        <w:rPr>
          <w:sz w:val="23"/>
        </w:rPr>
      </w:pPr>
      <w:r>
        <w:rPr>
          <w:sz w:val="23"/>
        </w:rPr>
        <w:t>En función de lo anterior se recomienda que el Estado Dominicano no asuma estos riesgos, dejando que los mismos sean asumidos por el inversor privado. El Estado Dominicano tendrá un rol de promotor y fiscalizador más no de líder del proyecto y, caso de materializarse el proyecto, éste debe ser llevado a cabo por el sector privado, donde éste asuma los riesgos comerciales y</w:t>
      </w:r>
      <w:r>
        <w:rPr>
          <w:spacing w:val="-2"/>
          <w:sz w:val="23"/>
        </w:rPr>
        <w:t> </w:t>
      </w:r>
      <w:r>
        <w:rPr>
          <w:sz w:val="23"/>
        </w:rPr>
        <w:t>técnicos.</w:t>
      </w:r>
    </w:p>
    <w:p>
      <w:pPr>
        <w:pStyle w:val="BodyText"/>
        <w:spacing w:before="12"/>
        <w:rPr>
          <w:sz w:val="22"/>
        </w:rPr>
      </w:pPr>
    </w:p>
    <w:p>
      <w:pPr>
        <w:pStyle w:val="ListParagraph"/>
        <w:numPr>
          <w:ilvl w:val="0"/>
          <w:numId w:val="46"/>
        </w:numPr>
        <w:tabs>
          <w:tab w:pos="600" w:val="left" w:leader="none"/>
        </w:tabs>
        <w:spacing w:line="240" w:lineRule="auto" w:before="0" w:after="0"/>
        <w:ind w:left="599" w:right="988" w:hanging="360"/>
        <w:jc w:val="both"/>
        <w:rPr>
          <w:sz w:val="23"/>
        </w:rPr>
      </w:pPr>
      <w:r>
        <w:rPr>
          <w:sz w:val="23"/>
        </w:rPr>
        <w:t>El Estado Dominicano podría reservarse un rol de acompañamiento, promotor y facilitador una vez que se haya demostrado la viabilidad del proyecto en todas sus</w:t>
      </w:r>
      <w:r>
        <w:rPr>
          <w:spacing w:val="21"/>
          <w:sz w:val="23"/>
        </w:rPr>
        <w:t> </w:t>
      </w:r>
      <w:r>
        <w:rPr>
          <w:sz w:val="23"/>
        </w:rPr>
        <w:t>fases.</w:t>
      </w:r>
    </w:p>
    <w:p>
      <w:pPr>
        <w:pStyle w:val="BodyText"/>
        <w:spacing w:before="12"/>
        <w:rPr>
          <w:sz w:val="22"/>
        </w:rPr>
      </w:pPr>
    </w:p>
    <w:p>
      <w:pPr>
        <w:pStyle w:val="ListParagraph"/>
        <w:numPr>
          <w:ilvl w:val="0"/>
          <w:numId w:val="46"/>
        </w:numPr>
        <w:tabs>
          <w:tab w:pos="600" w:val="left" w:leader="none"/>
        </w:tabs>
        <w:spacing w:line="240" w:lineRule="auto" w:before="0" w:after="0"/>
        <w:ind w:left="599" w:right="1055" w:hanging="360"/>
        <w:jc w:val="both"/>
        <w:rPr>
          <w:sz w:val="23"/>
        </w:rPr>
      </w:pPr>
      <w:r>
        <w:rPr>
          <w:sz w:val="23"/>
        </w:rPr>
        <w:t>Mientras se decide sobre la conveniencia de promover la refinería de Manzanillo no debe hacerse inversiones en mejorar la refinería REFIDOMSA, la cual en el entretanto debe mantener sus actividades como históricamente lo ha hecho, enfatizando en la comercialización de productos haciendo uso de sus facilidades portuarias y de almacenamiento, generando una rentabilidad a la inversión del Gobierno</w:t>
      </w:r>
      <w:r>
        <w:rPr>
          <w:spacing w:val="-21"/>
          <w:sz w:val="23"/>
        </w:rPr>
        <w:t> </w:t>
      </w:r>
      <w:r>
        <w:rPr>
          <w:sz w:val="23"/>
        </w:rPr>
        <w:t>dominicano.</w:t>
      </w:r>
    </w:p>
    <w:p>
      <w:pPr>
        <w:spacing w:after="0" w:line="240" w:lineRule="auto"/>
        <w:jc w:val="both"/>
        <w:rPr>
          <w:sz w:val="23"/>
        </w:rPr>
        <w:sectPr>
          <w:pgSz w:w="12240" w:h="15840"/>
          <w:pgMar w:header="718" w:footer="954" w:top="1360" w:bottom="1140" w:left="1200" w:right="380"/>
        </w:sectPr>
      </w:pPr>
    </w:p>
    <w:p>
      <w:pPr>
        <w:pStyle w:val="BodyText"/>
        <w:spacing w:before="5"/>
        <w:rPr>
          <w:sz w:val="11"/>
        </w:rPr>
      </w:pPr>
    </w:p>
    <w:p>
      <w:pPr>
        <w:pStyle w:val="Heading5"/>
        <w:numPr>
          <w:ilvl w:val="2"/>
          <w:numId w:val="17"/>
        </w:numPr>
        <w:tabs>
          <w:tab w:pos="1320" w:val="left" w:leader="none"/>
        </w:tabs>
        <w:spacing w:line="240" w:lineRule="auto" w:before="101" w:after="0"/>
        <w:ind w:left="1319" w:right="0" w:hanging="1081"/>
        <w:jc w:val="both"/>
      </w:pPr>
      <w:bookmarkStart w:name="_TOC_250057" w:id="42"/>
      <w:r>
        <w:rPr/>
        <w:t>Institucionalizar y regularizar el uso vehicular del</w:t>
      </w:r>
      <w:r>
        <w:rPr>
          <w:spacing w:val="-9"/>
        </w:rPr>
        <w:t> </w:t>
      </w:r>
      <w:bookmarkEnd w:id="42"/>
      <w:r>
        <w:rPr/>
        <w:t>GLP</w:t>
      </w:r>
    </w:p>
    <w:p>
      <w:pPr>
        <w:pStyle w:val="BodyText"/>
        <w:spacing w:before="5"/>
        <w:rPr>
          <w:rFonts w:ascii="Verdana"/>
          <w:b/>
        </w:rPr>
      </w:pPr>
    </w:p>
    <w:p>
      <w:pPr>
        <w:pStyle w:val="Heading3"/>
        <w:rPr>
          <w:i/>
        </w:rPr>
      </w:pPr>
      <w:bookmarkStart w:name="_TOC_250056" w:id="43"/>
      <w:bookmarkEnd w:id="43"/>
      <w:r>
        <w:rPr>
          <w:i/>
          <w:w w:val="105"/>
        </w:rPr>
        <w:t>Situación actual del uso vehicular del GLP</w:t>
      </w:r>
    </w:p>
    <w:p>
      <w:pPr>
        <w:pStyle w:val="BodyText"/>
        <w:spacing w:before="11"/>
        <w:rPr>
          <w:rFonts w:ascii="Times New Roman"/>
          <w:b/>
          <w:i/>
        </w:rPr>
      </w:pPr>
    </w:p>
    <w:p>
      <w:pPr>
        <w:pStyle w:val="BodyText"/>
        <w:ind w:left="239" w:right="1054"/>
        <w:jc w:val="both"/>
      </w:pPr>
      <w:r>
        <w:rPr/>
        <w:t>En 2001 el parque vehicular que utilizaba GLP como combustible se estimó en unos 35,800 vehículos. Un cálculo más reciente del Ministerio de Industria y Comercio, de 2005, estimó el parque en unos 87,800 vehículos de transporte público y privado, de los cuales el 64% corresponden a vehículos privados (automóviles, utilitarios, camionetas tipo JEEP; etc.), y un 35.5% corresponden a vehículos de uso público tipo</w:t>
      </w:r>
      <w:r>
        <w:rPr>
          <w:spacing w:val="-3"/>
        </w:rPr>
        <w:t> </w:t>
      </w:r>
      <w:r>
        <w:rPr/>
        <w:t>taxis.</w:t>
      </w:r>
    </w:p>
    <w:p>
      <w:pPr>
        <w:pStyle w:val="BodyText"/>
      </w:pPr>
    </w:p>
    <w:p>
      <w:pPr>
        <w:pStyle w:val="BodyText"/>
        <w:ind w:left="239" w:right="1054"/>
        <w:jc w:val="both"/>
      </w:pPr>
      <w:r>
        <w:rPr/>
        <w:t>De acuerdo con la información del Ministerio de Industria y Comercio, entre los años 2004 y 2006 las ventas del total de gasolinas bajaron de 7,700 miles de barriles en 2004 a 6,801 miles de barriles en 2006. En particular la gasolina regular en dicho período experimentó una caída de 6,400 a 5,295 miles de barriles por año. La caída de las ventas de los carburantes utilizados por los automóviles equipados con motores ciclo Otto (gasolinas), cuando el parque automotor se encuentra en crecimiento sostenido, sólo puede ser atribuida a la persistente substitución de gasolinas por GLP en un proceso anárquico; fuera de la normativa legal; no controlado y fraudulento en tanto y en cuanto evade impuestos específicos que gravan el consumo de gasolinas y además se apropia indebidamente de subsidios específicos al GLP que fueron establecidos en la normativa vigente (ley 112-00) exclusivamente para el sector</w:t>
      </w:r>
      <w:r>
        <w:rPr>
          <w:spacing w:val="-2"/>
        </w:rPr>
        <w:t> </w:t>
      </w:r>
      <w:r>
        <w:rPr/>
        <w:t>residencial.</w:t>
      </w:r>
    </w:p>
    <w:p>
      <w:pPr>
        <w:pStyle w:val="BodyText"/>
      </w:pPr>
    </w:p>
    <w:p>
      <w:pPr>
        <w:pStyle w:val="BodyText"/>
        <w:ind w:left="239" w:right="1054"/>
        <w:jc w:val="both"/>
      </w:pPr>
      <w:r>
        <w:rPr/>
        <w:t>En la actualidad la CNE estima que más de 300,000 vehículos utilizan GLP, en lo fundamental conchos y taxis. Estos vehículos consumen aproximadamente 2,400,000 galones de GLP diarios o sea cerca de 57,000 barriles por día, ciertamente una cantidad importante.</w:t>
      </w:r>
    </w:p>
    <w:p>
      <w:pPr>
        <w:pStyle w:val="BodyText"/>
        <w:spacing w:before="1"/>
      </w:pPr>
    </w:p>
    <w:p>
      <w:pPr>
        <w:pStyle w:val="BodyText"/>
        <w:ind w:left="239" w:right="1054"/>
        <w:jc w:val="both"/>
      </w:pPr>
      <w:r>
        <w:rPr/>
        <w:t>Se hace una distinción entre el concepto de “impuesto evadido” y el de “subsidio apropiado indebidamente”. La utilización del GLP en forma espontánea y al margen de las regulaciones existentes produce dos efectos diferenciados sobre la hacienda</w:t>
      </w:r>
      <w:r>
        <w:rPr>
          <w:spacing w:val="-17"/>
        </w:rPr>
        <w:t> </w:t>
      </w:r>
      <w:r>
        <w:rPr/>
        <w:t>pública:</w:t>
      </w:r>
    </w:p>
    <w:p>
      <w:pPr>
        <w:pStyle w:val="BodyText"/>
        <w:spacing w:before="1"/>
      </w:pPr>
    </w:p>
    <w:p>
      <w:pPr>
        <w:pStyle w:val="ListParagraph"/>
        <w:numPr>
          <w:ilvl w:val="0"/>
          <w:numId w:val="47"/>
        </w:numPr>
        <w:tabs>
          <w:tab w:pos="548" w:val="left" w:leader="none"/>
        </w:tabs>
        <w:spacing w:line="240" w:lineRule="auto" w:before="0" w:after="0"/>
        <w:ind w:left="239" w:right="1054" w:firstLine="0"/>
        <w:jc w:val="both"/>
        <w:rPr>
          <w:sz w:val="23"/>
        </w:rPr>
      </w:pPr>
      <w:r>
        <w:rPr>
          <w:sz w:val="23"/>
        </w:rPr>
        <w:t>Al ser el GLP un producto exento de impuestos el automovilista usuario de GLP en su vehículo no está tributando los impuestos que gravan el consumo de gasolinas en el transporte y por lo tanto priva al Estado Dominicano de recaudar estos fondos; y por lo que disminuyen los ingresos</w:t>
      </w:r>
      <w:r>
        <w:rPr>
          <w:spacing w:val="-4"/>
          <w:sz w:val="23"/>
        </w:rPr>
        <w:t> </w:t>
      </w:r>
      <w:r>
        <w:rPr>
          <w:sz w:val="23"/>
        </w:rPr>
        <w:t>fiscales;</w:t>
      </w:r>
    </w:p>
    <w:p>
      <w:pPr>
        <w:pStyle w:val="BodyText"/>
        <w:spacing w:before="11"/>
        <w:rPr>
          <w:sz w:val="22"/>
        </w:rPr>
      </w:pPr>
    </w:p>
    <w:p>
      <w:pPr>
        <w:pStyle w:val="ListParagraph"/>
        <w:numPr>
          <w:ilvl w:val="0"/>
          <w:numId w:val="47"/>
        </w:numPr>
        <w:tabs>
          <w:tab w:pos="562" w:val="left" w:leader="none"/>
        </w:tabs>
        <w:spacing w:line="240" w:lineRule="auto" w:before="0" w:after="0"/>
        <w:ind w:left="239" w:right="1054" w:firstLine="0"/>
        <w:jc w:val="both"/>
        <w:rPr>
          <w:sz w:val="23"/>
        </w:rPr>
      </w:pPr>
      <w:r>
        <w:rPr>
          <w:sz w:val="23"/>
        </w:rPr>
        <w:t>El automovilista que utiliza GLP en lugar de gasolina utiliza este combustible a precio subsidiado y por lo tanto se apropia indebidamente de un subsidio aportado por el Estado Dominicano aumentado los egresos de</w:t>
      </w:r>
      <w:r>
        <w:rPr>
          <w:spacing w:val="-5"/>
          <w:sz w:val="23"/>
        </w:rPr>
        <w:t> </w:t>
      </w:r>
      <w:r>
        <w:rPr>
          <w:sz w:val="23"/>
        </w:rPr>
        <w:t>éste.</w:t>
      </w:r>
    </w:p>
    <w:p>
      <w:pPr>
        <w:pStyle w:val="BodyText"/>
        <w:spacing w:before="1"/>
      </w:pPr>
    </w:p>
    <w:p>
      <w:pPr>
        <w:pStyle w:val="BodyText"/>
        <w:ind w:left="239" w:right="1056"/>
        <w:jc w:val="both"/>
      </w:pPr>
      <w:r>
        <w:rPr/>
        <w:t>La suma de ambos conceptos daría el perjuicio sobre el Estado o la renta apropiada indebidamente por los consumidores (en este caso los usuarios de GLP vehicular).</w:t>
      </w:r>
    </w:p>
    <w:p>
      <w:pPr>
        <w:pStyle w:val="BodyText"/>
      </w:pPr>
    </w:p>
    <w:p>
      <w:pPr>
        <w:pStyle w:val="BodyText"/>
        <w:ind w:left="239" w:right="1053"/>
        <w:jc w:val="both"/>
      </w:pPr>
      <w:r>
        <w:rPr/>
        <w:t>En la actualidad existe un Bono GAS administrado por la Vice-presidencia de la República Dominicana que subsidia a las familias más pobres. De acuerdo con la CNE, son 400,000 los</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4"/>
        <w:jc w:val="both"/>
      </w:pPr>
      <w:r>
        <w:rPr/>
        <w:t>hogares que se benefician, con RD$ 228.00 por hogar cada mes, y unos 40,000 los vehículos. El objetivo es llegar a cerca de 710,000 familias que usan cilindros de 15 lb. El Bono gas ha ayudado a focalizar el subsidio a los sectores que realmente lo requieren dentro de la política social del gobierno y a evitar la evasión</w:t>
      </w:r>
      <w:r>
        <w:rPr>
          <w:spacing w:val="-10"/>
        </w:rPr>
        <w:t> </w:t>
      </w:r>
      <w:r>
        <w:rPr/>
        <w:t>fiscal.</w:t>
      </w:r>
    </w:p>
    <w:p>
      <w:pPr>
        <w:pStyle w:val="BodyText"/>
        <w:spacing w:before="8"/>
      </w:pPr>
    </w:p>
    <w:p>
      <w:pPr>
        <w:pStyle w:val="Heading3"/>
        <w:rPr>
          <w:i/>
        </w:rPr>
      </w:pPr>
      <w:bookmarkStart w:name="_TOC_250055" w:id="44"/>
      <w:bookmarkEnd w:id="44"/>
      <w:r>
        <w:rPr>
          <w:i/>
          <w:w w:val="110"/>
        </w:rPr>
        <w:t>Estrategia de uso vehicular del GLP</w:t>
      </w:r>
    </w:p>
    <w:p>
      <w:pPr>
        <w:pStyle w:val="BodyText"/>
        <w:spacing w:before="10"/>
        <w:rPr>
          <w:rFonts w:ascii="Times New Roman"/>
          <w:b/>
          <w:i/>
        </w:rPr>
      </w:pPr>
    </w:p>
    <w:p>
      <w:pPr>
        <w:pStyle w:val="BodyText"/>
        <w:spacing w:before="1"/>
        <w:ind w:left="239" w:right="1054"/>
        <w:jc w:val="both"/>
      </w:pPr>
      <w:r>
        <w:rPr/>
        <w:t>Uno de los mayores desafíos que enfrenta el Subsector de los Hidrocarburos en República Dominicana consiste en institucionalizar el funcionamiento de la venta de GLP de uso vehicular. En primer lugar debe asumirse que se trata de un fenómeno de magnitud de desarrollo anárquico y muy dinámico crecimiento que provoca inconvenientes a múltiples sectores de índole legal, impositivo, seguridad de las instalaciones y las personas, perjuicios comerciales a los expendedores de combustibles, etc. Es un fenómeno que afecta a una gran cantidad de población en la República Dominicana.</w:t>
      </w:r>
    </w:p>
    <w:p>
      <w:pPr>
        <w:pStyle w:val="BodyText"/>
        <w:spacing w:before="1"/>
      </w:pPr>
    </w:p>
    <w:p>
      <w:pPr>
        <w:pStyle w:val="BodyText"/>
        <w:ind w:left="239" w:right="1055"/>
        <w:jc w:val="both"/>
      </w:pPr>
      <w:r>
        <w:rPr/>
        <w:t>La Regularización de la situación actual totalmente anormal, ilegal y fraudulenta en que se expende el GLP para uso vehicular debe ser encarada en forma prioritaria por múltiples razones entre las que cabe citar: 1) razones técnicas; 2) seguridad.</w:t>
      </w:r>
    </w:p>
    <w:p>
      <w:pPr>
        <w:pStyle w:val="BodyText"/>
        <w:spacing w:before="1"/>
      </w:pPr>
    </w:p>
    <w:p>
      <w:pPr>
        <w:pStyle w:val="BodyText"/>
        <w:ind w:left="239" w:right="1055"/>
        <w:jc w:val="both"/>
      </w:pPr>
      <w:r>
        <w:rPr/>
        <w:t>El sector perjudicado es el comercio detallista expendedor de combustibles líquidos que ve disminuir en forma constante su clientela que transforma sus vehículos para consumir GLP y dejan de abastecerse en la red de estaciones de servicio. En tercer lugar, el público en general, por los riesgos inherentes al uso de un combustible que encierra peligros para la población (incendios, explosiones, emanación de gases tóxicos, efluentes líquidos peligrosos, etc.), sin ninguna regulación ni</w:t>
      </w:r>
      <w:r>
        <w:rPr>
          <w:spacing w:val="-5"/>
        </w:rPr>
        <w:t> </w:t>
      </w:r>
      <w:r>
        <w:rPr/>
        <w:t>control.</w:t>
      </w:r>
    </w:p>
    <w:p>
      <w:pPr>
        <w:pStyle w:val="BodyText"/>
        <w:spacing w:before="10"/>
        <w:rPr>
          <w:sz w:val="22"/>
        </w:rPr>
      </w:pPr>
    </w:p>
    <w:p>
      <w:pPr>
        <w:pStyle w:val="BodyText"/>
        <w:ind w:left="239" w:right="1053"/>
        <w:jc w:val="both"/>
      </w:pPr>
      <w:r>
        <w:rPr/>
        <w:t>Uno de los mayores desafíos que enfrenta el Subsector de los Hidrocarburos en República Dominicana consiste en institucionalizar el funcionamiento de la venta de GLP de uso vehicular. La idea de regularizar GLP vehicular no debería ser interpretada como “prohibir el uso”, ya que la modalidad ha adquirido tal grado de desarrollo en la República Dominicana que la prohibición resultaría compleja y de alto costo político.</w:t>
      </w:r>
    </w:p>
    <w:p>
      <w:pPr>
        <w:pStyle w:val="BodyText"/>
      </w:pPr>
    </w:p>
    <w:p>
      <w:pPr>
        <w:pStyle w:val="BodyText"/>
        <w:ind w:left="239" w:right="1054"/>
        <w:jc w:val="both"/>
      </w:pPr>
      <w:r>
        <w:rPr/>
        <w:t>La regularización del GLP automotor se debería transformar en una política de alta prioridad para el sector energético dominicano. Debería ser gradual con el objetivo final de su regularización total. El objetivo final es que el GLP vehicular sea un combustible de uso permitido y reglamentado tanto su expendio como las instalaciones en el interior de los vehículos que deben cumplir con estrictas normas de seguridad. Un segundo objetivo es impedir la apropiación indebida de subsidios por parte de los automovilistas.</w:t>
      </w:r>
    </w:p>
    <w:p>
      <w:pPr>
        <w:pStyle w:val="BodyText"/>
        <w:spacing w:before="1"/>
      </w:pPr>
    </w:p>
    <w:p>
      <w:pPr>
        <w:pStyle w:val="BodyText"/>
        <w:ind w:left="239"/>
        <w:jc w:val="both"/>
      </w:pPr>
      <w:r>
        <w:rPr/>
        <w:t>Para lograr los objetivos planteados deberá tener las siguientes características:</w:t>
      </w:r>
    </w:p>
    <w:p>
      <w:pPr>
        <w:pStyle w:val="BodyText"/>
        <w:spacing w:before="11"/>
        <w:rPr>
          <w:sz w:val="22"/>
        </w:rPr>
      </w:pPr>
    </w:p>
    <w:p>
      <w:pPr>
        <w:pStyle w:val="ListParagraph"/>
        <w:numPr>
          <w:ilvl w:val="0"/>
          <w:numId w:val="48"/>
        </w:numPr>
        <w:tabs>
          <w:tab w:pos="600" w:val="left" w:leader="none"/>
        </w:tabs>
        <w:spacing w:line="240" w:lineRule="auto" w:before="0" w:after="0"/>
        <w:ind w:left="599" w:right="1053" w:hanging="360"/>
        <w:jc w:val="both"/>
        <w:rPr>
          <w:sz w:val="23"/>
        </w:rPr>
      </w:pPr>
      <w:r>
        <w:rPr>
          <w:sz w:val="23"/>
        </w:rPr>
        <w:t>El GLP de uso vehicular debe ser normalizado por una norma de DIGENOR al igual que ocurre con los restantes combustibles de uso vehicular (gasolinas y gasoil). Para la redacción de la normativa deben utilizarse antecedentes normativos internacionales y proceder a su adaptación a República Dominicana. Deben establecerse</w:t>
      </w:r>
      <w:r>
        <w:rPr>
          <w:spacing w:val="38"/>
          <w:sz w:val="23"/>
        </w:rPr>
        <w:t> </w:t>
      </w:r>
      <w:r>
        <w:rPr>
          <w:sz w:val="23"/>
        </w:rPr>
        <w:t>las normas</w:t>
      </w:r>
    </w:p>
    <w:p>
      <w:pPr>
        <w:spacing w:after="0" w:line="240" w:lineRule="auto"/>
        <w:jc w:val="both"/>
        <w:rPr>
          <w:sz w:val="23"/>
        </w:rPr>
        <w:sectPr>
          <w:pgSz w:w="12240" w:h="15840"/>
          <w:pgMar w:header="718" w:footer="954" w:top="1360" w:bottom="1140" w:left="1200" w:right="380"/>
        </w:sectPr>
      </w:pPr>
    </w:p>
    <w:p>
      <w:pPr>
        <w:pStyle w:val="BodyText"/>
        <w:spacing w:before="4"/>
        <w:rPr>
          <w:sz w:val="11"/>
        </w:rPr>
      </w:pPr>
    </w:p>
    <w:p>
      <w:pPr>
        <w:pStyle w:val="BodyText"/>
        <w:spacing w:before="101"/>
        <w:ind w:left="599" w:right="1054"/>
        <w:jc w:val="both"/>
      </w:pPr>
      <w:r>
        <w:rPr/>
        <w:t>técnicas para el montaje, operación y funcionamiento de las estaciones de llenado (instalaciones de venta exclusiva de GLP vehicular), así como de los procedimientos de instalación y características de los “kits”.</w:t>
      </w:r>
    </w:p>
    <w:p>
      <w:pPr>
        <w:pStyle w:val="BodyText"/>
      </w:pPr>
    </w:p>
    <w:p>
      <w:pPr>
        <w:pStyle w:val="ListParagraph"/>
        <w:numPr>
          <w:ilvl w:val="0"/>
          <w:numId w:val="48"/>
        </w:numPr>
        <w:tabs>
          <w:tab w:pos="600" w:val="left" w:leader="none"/>
        </w:tabs>
        <w:spacing w:line="240" w:lineRule="auto" w:before="1" w:after="0"/>
        <w:ind w:left="599" w:right="1053" w:hanging="360"/>
        <w:jc w:val="both"/>
        <w:rPr>
          <w:sz w:val="23"/>
        </w:rPr>
      </w:pPr>
      <w:r>
        <w:rPr>
          <w:sz w:val="23"/>
        </w:rPr>
        <w:t>Debe permitirse a la red detallista autorizada de combustibles líquidos (nucleadas en la ANADEGAS) que la misma puede habilitar islas de ventas de GLP vehicular no subsidiado en sus instalaciones</w:t>
      </w:r>
      <w:r>
        <w:rPr>
          <w:spacing w:val="-3"/>
          <w:sz w:val="23"/>
        </w:rPr>
        <w:t> </w:t>
      </w:r>
      <w:r>
        <w:rPr>
          <w:sz w:val="23"/>
        </w:rPr>
        <w:t>actuales.</w:t>
      </w:r>
    </w:p>
    <w:p>
      <w:pPr>
        <w:pStyle w:val="BodyText"/>
      </w:pPr>
    </w:p>
    <w:p>
      <w:pPr>
        <w:pStyle w:val="ListParagraph"/>
        <w:numPr>
          <w:ilvl w:val="0"/>
          <w:numId w:val="48"/>
        </w:numPr>
        <w:tabs>
          <w:tab w:pos="600" w:val="left" w:leader="none"/>
        </w:tabs>
        <w:spacing w:line="240" w:lineRule="auto" w:before="0" w:after="0"/>
        <w:ind w:left="599" w:right="1054" w:hanging="360"/>
        <w:jc w:val="both"/>
        <w:rPr>
          <w:sz w:val="23"/>
        </w:rPr>
      </w:pPr>
      <w:r>
        <w:rPr>
          <w:sz w:val="23"/>
        </w:rPr>
        <w:t>En un plazo de 1 (un) año (tiempo en el cual se debe ir implementando el punto anterior) debe quedar prohibido a las envasadoras de GLP la venta de GLP</w:t>
      </w:r>
      <w:r>
        <w:rPr>
          <w:spacing w:val="-20"/>
          <w:sz w:val="23"/>
        </w:rPr>
        <w:t> </w:t>
      </w:r>
      <w:r>
        <w:rPr>
          <w:sz w:val="23"/>
        </w:rPr>
        <w:t>vehicular.</w:t>
      </w:r>
    </w:p>
    <w:p>
      <w:pPr>
        <w:pStyle w:val="BodyText"/>
      </w:pPr>
    </w:p>
    <w:p>
      <w:pPr>
        <w:pStyle w:val="ListParagraph"/>
        <w:numPr>
          <w:ilvl w:val="0"/>
          <w:numId w:val="48"/>
        </w:numPr>
        <w:tabs>
          <w:tab w:pos="600" w:val="left" w:leader="none"/>
        </w:tabs>
        <w:spacing w:line="240" w:lineRule="auto" w:before="0" w:after="0"/>
        <w:ind w:left="599" w:right="1056" w:hanging="360"/>
        <w:jc w:val="both"/>
        <w:rPr>
          <w:sz w:val="23"/>
        </w:rPr>
      </w:pPr>
      <w:r>
        <w:rPr>
          <w:sz w:val="23"/>
        </w:rPr>
        <w:t>Las envasadoras sólo podrán expender GLP para uso doméstico. Será penado con fuertes multas y/o clausura el expendio de GLP vehicular en envasadoras de</w:t>
      </w:r>
      <w:r>
        <w:rPr>
          <w:spacing w:val="-15"/>
          <w:sz w:val="23"/>
        </w:rPr>
        <w:t> </w:t>
      </w:r>
      <w:r>
        <w:rPr>
          <w:sz w:val="23"/>
        </w:rPr>
        <w:t>GLP.</w:t>
      </w:r>
    </w:p>
    <w:p>
      <w:pPr>
        <w:pStyle w:val="BodyText"/>
      </w:pPr>
    </w:p>
    <w:p>
      <w:pPr>
        <w:pStyle w:val="ListParagraph"/>
        <w:numPr>
          <w:ilvl w:val="0"/>
          <w:numId w:val="48"/>
        </w:numPr>
        <w:tabs>
          <w:tab w:pos="600" w:val="left" w:leader="none"/>
        </w:tabs>
        <w:spacing w:line="240" w:lineRule="auto" w:before="0" w:after="0"/>
        <w:ind w:left="599" w:right="1055" w:hanging="360"/>
        <w:jc w:val="both"/>
        <w:rPr>
          <w:sz w:val="23"/>
        </w:rPr>
      </w:pPr>
      <w:r>
        <w:rPr>
          <w:sz w:val="23"/>
        </w:rPr>
        <w:t>Debe permitirse a los detallistas de combustibles líquidos la venta en islas diferenciadas de este combustible en instalaciones normalizadas y autorizadas por las autoridades competentes. Las actuales estaciones de venta de GLP vehicular deberán optar en un plazo determinado a transformarse en estaciones de servicio exclusivas de venta de GLP vehicular regularizadas o cerrar sus instalaciones</w:t>
      </w:r>
      <w:r>
        <w:rPr>
          <w:spacing w:val="-7"/>
          <w:sz w:val="23"/>
        </w:rPr>
        <w:t> </w:t>
      </w:r>
      <w:r>
        <w:rPr>
          <w:sz w:val="23"/>
        </w:rPr>
        <w:t>actuales.</w:t>
      </w:r>
    </w:p>
    <w:p>
      <w:pPr>
        <w:pStyle w:val="BodyText"/>
      </w:pPr>
    </w:p>
    <w:p>
      <w:pPr>
        <w:pStyle w:val="ListParagraph"/>
        <w:numPr>
          <w:ilvl w:val="0"/>
          <w:numId w:val="48"/>
        </w:numPr>
        <w:tabs>
          <w:tab w:pos="600" w:val="left" w:leader="none"/>
        </w:tabs>
        <w:spacing w:line="240" w:lineRule="auto" w:before="0" w:after="0"/>
        <w:ind w:left="599" w:right="1055" w:hanging="360"/>
        <w:jc w:val="both"/>
        <w:rPr>
          <w:sz w:val="23"/>
        </w:rPr>
      </w:pPr>
      <w:r>
        <w:rPr>
          <w:sz w:val="23"/>
        </w:rPr>
        <w:t>El sistema de impuesto a los combustibles utilizados para uso vehicular en general debe ser racional y no distorsionante y debe tener armonía entre los diversos combustibles alternativos.</w:t>
      </w:r>
    </w:p>
    <w:p>
      <w:pPr>
        <w:pStyle w:val="BodyText"/>
        <w:spacing w:before="1"/>
      </w:pPr>
    </w:p>
    <w:p>
      <w:pPr>
        <w:pStyle w:val="ListParagraph"/>
        <w:numPr>
          <w:ilvl w:val="0"/>
          <w:numId w:val="48"/>
        </w:numPr>
        <w:tabs>
          <w:tab w:pos="600" w:val="left" w:leader="none"/>
        </w:tabs>
        <w:spacing w:line="240" w:lineRule="auto" w:before="0" w:after="0"/>
        <w:ind w:left="599" w:right="1055" w:hanging="360"/>
        <w:jc w:val="both"/>
        <w:rPr>
          <w:sz w:val="23"/>
        </w:rPr>
      </w:pPr>
      <w:r>
        <w:rPr>
          <w:sz w:val="23"/>
        </w:rPr>
        <w:t>Paralelamente a la habilitación y regularización de instalaciones de expendio debe aumentar la exigencia sobre el automotor particular a través de inspecciones que penalicen directamente la utilización de instalaciones caseras y fuera de norma en los vehículos.</w:t>
      </w:r>
    </w:p>
    <w:p>
      <w:pPr>
        <w:pStyle w:val="BodyText"/>
        <w:rPr>
          <w:sz w:val="28"/>
        </w:rPr>
      </w:pPr>
    </w:p>
    <w:p>
      <w:pPr>
        <w:pStyle w:val="Heading5"/>
        <w:numPr>
          <w:ilvl w:val="2"/>
          <w:numId w:val="17"/>
        </w:numPr>
        <w:tabs>
          <w:tab w:pos="1319" w:val="left" w:leader="none"/>
          <w:tab w:pos="1320" w:val="left" w:leader="none"/>
          <w:tab w:pos="2764" w:val="left" w:leader="none"/>
          <w:tab w:pos="3484" w:val="left" w:leader="none"/>
          <w:tab w:pos="5217" w:val="left" w:leader="none"/>
          <w:tab w:pos="7809" w:val="left" w:leader="none"/>
          <w:tab w:pos="8548" w:val="left" w:leader="none"/>
        </w:tabs>
        <w:spacing w:line="240" w:lineRule="auto" w:before="218" w:after="0"/>
        <w:ind w:left="1319" w:right="1061" w:hanging="1080"/>
        <w:jc w:val="left"/>
      </w:pPr>
      <w:bookmarkStart w:name="_TOC_250054" w:id="45"/>
      <w:r>
        <w:rPr/>
        <w:t>Eliminar</w:t>
        <w:tab/>
        <w:t>los</w:t>
        <w:tab/>
        <w:t>elementos</w:t>
        <w:tab/>
        <w:t>distorsionadores</w:t>
        <w:tab/>
        <w:t>del</w:t>
        <w:tab/>
      </w:r>
      <w:r>
        <w:rPr>
          <w:spacing w:val="-3"/>
        </w:rPr>
        <w:t>sistema </w:t>
      </w:r>
      <w:r>
        <w:rPr/>
        <w:t>impositivo de los</w:t>
      </w:r>
      <w:r>
        <w:rPr>
          <w:spacing w:val="-2"/>
        </w:rPr>
        <w:t> </w:t>
      </w:r>
      <w:bookmarkEnd w:id="45"/>
      <w:r>
        <w:rPr/>
        <w:t>combustibles</w:t>
      </w:r>
    </w:p>
    <w:p>
      <w:pPr>
        <w:pStyle w:val="BodyText"/>
        <w:spacing w:before="7"/>
        <w:rPr>
          <w:rFonts w:ascii="Verdana"/>
          <w:b/>
          <w:sz w:val="22"/>
        </w:rPr>
      </w:pPr>
    </w:p>
    <w:p>
      <w:pPr>
        <w:pStyle w:val="BodyText"/>
        <w:ind w:left="239" w:right="1060"/>
      </w:pPr>
      <w:r>
        <w:rPr/>
        <w:t>En el rubro combustibles utilizados para el transporte automotor se da una situación altamente distorsionada. La política de precios se encaminará a:</w:t>
      </w:r>
    </w:p>
    <w:p>
      <w:pPr>
        <w:pStyle w:val="BodyText"/>
      </w:pPr>
    </w:p>
    <w:p>
      <w:pPr>
        <w:pStyle w:val="ListParagraph"/>
        <w:numPr>
          <w:ilvl w:val="0"/>
          <w:numId w:val="49"/>
        </w:numPr>
        <w:tabs>
          <w:tab w:pos="600" w:val="left" w:leader="none"/>
        </w:tabs>
        <w:spacing w:line="240" w:lineRule="auto" w:before="0" w:after="0"/>
        <w:ind w:left="599" w:right="1055" w:hanging="360"/>
        <w:jc w:val="both"/>
        <w:rPr>
          <w:sz w:val="23"/>
        </w:rPr>
      </w:pPr>
      <w:r>
        <w:rPr>
          <w:sz w:val="23"/>
        </w:rPr>
        <w:t>Mantener las diferencias en la componente de la tasa impositiva del fuel oil y el GLP de uso industrial, por razones ambientales. Tal diferencia sirve para internalizar los costos ambientales.</w:t>
      </w:r>
    </w:p>
    <w:p>
      <w:pPr>
        <w:pStyle w:val="BodyText"/>
        <w:spacing w:before="1"/>
      </w:pPr>
    </w:p>
    <w:p>
      <w:pPr>
        <w:pStyle w:val="ListParagraph"/>
        <w:numPr>
          <w:ilvl w:val="0"/>
          <w:numId w:val="49"/>
        </w:numPr>
        <w:tabs>
          <w:tab w:pos="600" w:val="left" w:leader="none"/>
        </w:tabs>
        <w:spacing w:line="240" w:lineRule="auto" w:before="0" w:after="0"/>
        <w:ind w:left="599" w:right="1055" w:hanging="360"/>
        <w:jc w:val="both"/>
        <w:rPr>
          <w:sz w:val="23"/>
        </w:rPr>
      </w:pPr>
      <w:r>
        <w:rPr>
          <w:sz w:val="23"/>
        </w:rPr>
        <w:t>Cambia el impuesto “ad valorem” dispuesto por la Ley Nº 557/05 por un cargo fijo por galón para evitar el efecto pro cíclico amplificando los efectos de un incremento en los precios internacionales de los</w:t>
      </w:r>
      <w:r>
        <w:rPr>
          <w:spacing w:val="-2"/>
          <w:sz w:val="23"/>
        </w:rPr>
        <w:t> </w:t>
      </w:r>
      <w:r>
        <w:rPr>
          <w:sz w:val="23"/>
        </w:rPr>
        <w:t>combustibles.</w:t>
      </w:r>
    </w:p>
    <w:p>
      <w:pPr>
        <w:spacing w:after="0" w:line="240" w:lineRule="auto"/>
        <w:jc w:val="both"/>
        <w:rPr>
          <w:sz w:val="23"/>
        </w:rPr>
        <w:sectPr>
          <w:pgSz w:w="12240" w:h="15840"/>
          <w:pgMar w:header="718" w:footer="954" w:top="1360" w:bottom="1140" w:left="1200" w:right="380"/>
        </w:sectPr>
      </w:pPr>
    </w:p>
    <w:p>
      <w:pPr>
        <w:pStyle w:val="BodyText"/>
        <w:spacing w:before="4"/>
        <w:rPr>
          <w:sz w:val="11"/>
        </w:rPr>
      </w:pPr>
    </w:p>
    <w:p>
      <w:pPr>
        <w:pStyle w:val="ListParagraph"/>
        <w:numPr>
          <w:ilvl w:val="0"/>
          <w:numId w:val="49"/>
        </w:numPr>
        <w:tabs>
          <w:tab w:pos="600" w:val="left" w:leader="none"/>
        </w:tabs>
        <w:spacing w:line="240" w:lineRule="auto" w:before="101" w:after="0"/>
        <w:ind w:left="599" w:right="1055" w:hanging="360"/>
        <w:jc w:val="both"/>
        <w:rPr>
          <w:sz w:val="23"/>
        </w:rPr>
      </w:pPr>
      <w:r>
        <w:rPr>
          <w:sz w:val="23"/>
        </w:rPr>
        <w:t>El sistema impositivo sobre los combustibles debe ser considerado como instrumento de fijación de políticas y no solo basado en consideraciones fiscales. En particular y de manera importante, imponer las políticas ambientales que penalicen los combustibles más contaminantes y alienten el uso de combustibles más amigables con el ambiente. En términos generales la política de precios relativos debe facilitarla penetración del gas natural y de los</w:t>
      </w:r>
      <w:r>
        <w:rPr>
          <w:spacing w:val="1"/>
          <w:sz w:val="23"/>
        </w:rPr>
        <w:t> </w:t>
      </w:r>
      <w:r>
        <w:rPr>
          <w:sz w:val="23"/>
        </w:rPr>
        <w:t>biocombustibles.</w:t>
      </w:r>
    </w:p>
    <w:p>
      <w:pPr>
        <w:pStyle w:val="BodyText"/>
      </w:pPr>
    </w:p>
    <w:p>
      <w:pPr>
        <w:pStyle w:val="ListParagraph"/>
        <w:numPr>
          <w:ilvl w:val="0"/>
          <w:numId w:val="49"/>
        </w:numPr>
        <w:tabs>
          <w:tab w:pos="600" w:val="left" w:leader="none"/>
        </w:tabs>
        <w:spacing w:line="240" w:lineRule="auto" w:before="0" w:after="0"/>
        <w:ind w:left="599" w:right="1055" w:hanging="360"/>
        <w:jc w:val="both"/>
        <w:rPr>
          <w:sz w:val="23"/>
        </w:rPr>
      </w:pPr>
      <w:r>
        <w:rPr>
          <w:sz w:val="23"/>
        </w:rPr>
        <w:t>Redefinir el mecanismo de establecimiento de precios de paridad establecido por el Ministerio de Industria y Comercio (MIC) aplicado a los derivados de petróleo. Esta es una responsabilidad que debe trasladarse a la CNE y, en el futuro, al Ministerio de Energía, si este se crea de acuerdo con las recomendaciones del</w:t>
      </w:r>
      <w:r>
        <w:rPr>
          <w:spacing w:val="-10"/>
          <w:sz w:val="23"/>
        </w:rPr>
        <w:t> </w:t>
      </w:r>
      <w:r>
        <w:rPr>
          <w:sz w:val="23"/>
        </w:rPr>
        <w:t>PEN.</w:t>
      </w:r>
    </w:p>
    <w:p>
      <w:pPr>
        <w:pStyle w:val="BodyText"/>
        <w:rPr>
          <w:sz w:val="28"/>
        </w:rPr>
      </w:pPr>
    </w:p>
    <w:p>
      <w:pPr>
        <w:pStyle w:val="Heading5"/>
        <w:numPr>
          <w:ilvl w:val="2"/>
          <w:numId w:val="17"/>
        </w:numPr>
        <w:tabs>
          <w:tab w:pos="1319" w:val="left" w:leader="none"/>
          <w:tab w:pos="1320" w:val="left" w:leader="none"/>
        </w:tabs>
        <w:spacing w:line="240" w:lineRule="auto" w:before="218" w:after="0"/>
        <w:ind w:left="1319" w:right="0" w:hanging="1081"/>
        <w:jc w:val="left"/>
      </w:pPr>
      <w:bookmarkStart w:name="_TOC_250053" w:id="46"/>
      <w:r>
        <w:rPr/>
        <w:t>Desarrollar el mercado de gas natural – oferta y</w:t>
      </w:r>
      <w:r>
        <w:rPr>
          <w:spacing w:val="-14"/>
        </w:rPr>
        <w:t> </w:t>
      </w:r>
      <w:bookmarkEnd w:id="46"/>
      <w:r>
        <w:rPr/>
        <w:t>demanda</w:t>
      </w:r>
    </w:p>
    <w:p>
      <w:pPr>
        <w:pStyle w:val="BodyText"/>
        <w:spacing w:before="9"/>
        <w:rPr>
          <w:rFonts w:ascii="Verdana"/>
          <w:b/>
          <w:sz w:val="22"/>
        </w:rPr>
      </w:pPr>
    </w:p>
    <w:p>
      <w:pPr>
        <w:pStyle w:val="BodyText"/>
        <w:ind w:left="239" w:right="1053"/>
        <w:jc w:val="both"/>
      </w:pPr>
      <w:r>
        <w:rPr/>
        <w:t>El terminal de regasificación de AES en Boca chica opera actualmente a un factor de utilización bajo, pues recibe un tanquero con 145,000 m3 de GNL cada dos meses, equivalente a un consumo de gas natural de 522 Mm3/año, destinado en un 97% al consumo de las plantas generadores de AES Andrés y Los Mina y 3% para la empresa Línea Clave que distribuye gas natural comprimido (GNC) en camiones a la industria. Se estima que el terminal podría atender 2 tanqueros por mes, equivalente a un consumo de gas natural de 2,300 Mm3/año.</w:t>
      </w:r>
    </w:p>
    <w:p>
      <w:pPr>
        <w:pStyle w:val="BodyText"/>
        <w:spacing w:before="2"/>
      </w:pPr>
    </w:p>
    <w:p>
      <w:pPr>
        <w:pStyle w:val="BodyText"/>
        <w:ind w:left="239" w:right="1055"/>
        <w:jc w:val="both"/>
      </w:pPr>
      <w:r>
        <w:rPr/>
        <w:t>Para el gas natural existen tres mercados potenciales basados en la disponibilidad ofrecida por el terminal metanero de AES: generación eléctrica, sector industrial y transporte. Dado el nivel de estudios actual sobre el tema no es posible definir una estrategia relativa la distribución domiciliaria (uso residencial).</w:t>
      </w:r>
    </w:p>
    <w:p>
      <w:pPr>
        <w:pStyle w:val="BodyText"/>
        <w:spacing w:before="11"/>
        <w:rPr>
          <w:sz w:val="22"/>
        </w:rPr>
      </w:pPr>
    </w:p>
    <w:p>
      <w:pPr>
        <w:pStyle w:val="BodyText"/>
        <w:ind w:left="239" w:right="1054"/>
        <w:jc w:val="both"/>
      </w:pPr>
      <w:r>
        <w:rPr/>
        <w:t>En general, el gas natural sería muy competitivo con el gasoil, pero tiene un precio ligeramente superior que el fuel oil No.6 y no es competitivo con el carbón. El precio del GNL importado a la República Dominicana está indexado al precio del gas natural en el mercado de los Estados Unidos (Henry Hub), pues el 97% del comercio del GNL en el Caribe está destinado a ese mercado. Dado que el precio del gas en Henry Hub tiene una correlación alta con el precio del WTI no es probable que el precio del GNL (por unidad de energía) se mantenga por debajo del precio del fuel oil No. 6 por periodos largos de tiempo.</w:t>
      </w:r>
    </w:p>
    <w:p>
      <w:pPr>
        <w:spacing w:after="0"/>
        <w:jc w:val="both"/>
        <w:sectPr>
          <w:pgSz w:w="12240" w:h="15840"/>
          <w:pgMar w:header="718" w:footer="954" w:top="1360" w:bottom="1140" w:left="1200" w:right="380"/>
        </w:sectPr>
      </w:pPr>
    </w:p>
    <w:p>
      <w:pPr>
        <w:pStyle w:val="BodyText"/>
        <w:spacing w:before="8"/>
        <w:rPr>
          <w:sz w:val="11"/>
        </w:rPr>
      </w:pPr>
    </w:p>
    <w:p>
      <w:pPr>
        <w:pStyle w:val="Heading3"/>
        <w:spacing w:before="103"/>
        <w:rPr>
          <w:i/>
        </w:rPr>
      </w:pPr>
      <w:bookmarkStart w:name="_TOC_250052" w:id="47"/>
      <w:bookmarkEnd w:id="47"/>
      <w:r>
        <w:rPr>
          <w:i/>
          <w:w w:val="110"/>
        </w:rPr>
        <w:t>Generación eléctrica</w:t>
      </w:r>
    </w:p>
    <w:p>
      <w:pPr>
        <w:pStyle w:val="BodyText"/>
        <w:spacing w:before="2"/>
        <w:rPr>
          <w:rFonts w:ascii="Times New Roman"/>
          <w:b/>
          <w:i/>
          <w:sz w:val="24"/>
        </w:rPr>
      </w:pPr>
    </w:p>
    <w:p>
      <w:pPr>
        <w:pStyle w:val="BodyText"/>
        <w:ind w:left="240" w:right="1054" w:hanging="1"/>
        <w:jc w:val="both"/>
      </w:pPr>
      <w:r>
        <w:rPr/>
        <w:t>De acuerdo con el análisis preliminar sobre las alternativas de expansión en generación</w:t>
      </w:r>
      <w:r>
        <w:rPr>
          <w:vertAlign w:val="superscript"/>
        </w:rPr>
        <w:t>21</w:t>
      </w:r>
      <w:r>
        <w:rPr>
          <w:vertAlign w:val="baseline"/>
        </w:rPr>
        <w:t>, la sustitución del gasoil por gas natural solamente se justificaría en la planta de CESPM que tiene una alta eficiencia y un costo variable ligeramente inferior a los motores diesel de mediana velocidad (MDMV), pues en el caso de Smith &amp; Enron y las turbinas a gas el costo variable de generación sería más alto que el de los MDMV y se justificaría desplazar su generación por nuevas plantas térmicas a carbón. Todas las plantas a gas natural (incluyendo AES Andrés) tendrían un costo variable de operación sustancialmente mayor que el de las plantas a carbón.</w:t>
      </w:r>
    </w:p>
    <w:p>
      <w:pPr>
        <w:pStyle w:val="BodyText"/>
      </w:pPr>
    </w:p>
    <w:p>
      <w:pPr>
        <w:pStyle w:val="BodyText"/>
        <w:ind w:left="240" w:right="1053"/>
        <w:jc w:val="both"/>
      </w:pPr>
      <w:r>
        <w:rPr/>
        <w:t>Los resultados de los planes de expansión de costo mínimo</w:t>
      </w:r>
      <w:r>
        <w:rPr>
          <w:vertAlign w:val="superscript"/>
        </w:rPr>
        <w:t>22</w:t>
      </w:r>
      <w:r>
        <w:rPr>
          <w:vertAlign w:val="baseline"/>
        </w:rPr>
        <w:t> muestran que en el caso base la generación de las turbinas a gas de Los Mina con gas natural no es competitiva, y la generación de CESPM con gas natural es marginalmente competitiva, puesto que en este caso se instala capacidad adicional en plantas a carbón para desplazar la generación térmica con costos variables más altos. El factor anual de planta para CESPM es menor a 20% para el periodo 2011 a 2018 y que la planta de Los Mina no se despacha a partir del 2011. Solamente en el caso gas, en que la generación adicional se usa básicamente para atender el crecimiento de demanda y el desplazamiento de la generación existente es mucho menor, el factor de planta de CESPM es superior a 80% la mayor parte del tiempo. Hay que tener en cuenta, sin embargo, que el caso base resulta en una dependencia muy alta de la generación a carbón y no se recomienda como política de diversificación. Posiblemente un caso más razonable sería una generación a gas intermedia entre el caso base y el caso gas, por lo cual la conversión a gas de CESPM probablemente se</w:t>
      </w:r>
      <w:r>
        <w:rPr>
          <w:spacing w:val="-20"/>
          <w:vertAlign w:val="baseline"/>
        </w:rPr>
        <w:t> </w:t>
      </w:r>
      <w:r>
        <w:rPr>
          <w:vertAlign w:val="baseline"/>
        </w:rPr>
        <w:t>justifica.</w:t>
      </w:r>
    </w:p>
    <w:p>
      <w:pPr>
        <w:pStyle w:val="BodyText"/>
        <w:spacing w:before="1"/>
      </w:pPr>
    </w:p>
    <w:p>
      <w:pPr>
        <w:pStyle w:val="BodyText"/>
        <w:ind w:left="239" w:right="1053"/>
        <w:jc w:val="both"/>
      </w:pPr>
      <w:r>
        <w:rPr/>
        <w:t>Solamente en el caso gas, al final del periodo de planificación, se presentan consumos de gas superiores a 2,000 Mm3/año. En el caso extremo del caso base los consumos de gas se reducen sustancialmente por debajo de los consumos actuales (de aproximadamente 600 Mm3/año) en el periodo 2014 a 2017 y en los casos de mayor consumo (costos altos de inversión de plantas a carbón - carbón+40% - y caso gas) el consumo aumenta a niveles cercanos a 1,000 Mm3/ año, un valor más razonable, que supone que las plantas de AES Andrés y CESPM operan a factores de planta altos.</w:t>
      </w:r>
    </w:p>
    <w:p>
      <w:pPr>
        <w:pStyle w:val="BodyText"/>
        <w:spacing w:before="11"/>
        <w:rPr>
          <w:sz w:val="22"/>
        </w:rPr>
      </w:pPr>
    </w:p>
    <w:p>
      <w:pPr>
        <w:pStyle w:val="BodyText"/>
        <w:ind w:left="240" w:right="1053"/>
        <w:jc w:val="both"/>
      </w:pPr>
      <w:r>
        <w:rPr/>
        <w:t>Para promover la sustitución de gasoil por gas natural licuado y garantizar una competitividad con el carbón, el mejor estímulo es la aplicación de políticas estrictas sobre protección al medio ambiente para el desarrollo de plantas de generación, que obliguen a internalizar los costos del impacto ambiental de las plantas.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rect style="position:absolute;margin-left:72pt;margin-top:19.145632pt;width:143.999997pt;height:.72pt;mso-position-horizontal-relative:page;mso-position-vertical-relative:paragraph;z-index:-15675392;mso-wrap-distance-left:0;mso-wrap-distance-right:0" filled="true" fillcolor="#000000" stroked="false">
            <v:fill type="solid"/>
            <w10:wrap type="topAndBottom"/>
          </v:rect>
        </w:pict>
      </w:r>
    </w:p>
    <w:p>
      <w:pPr>
        <w:tabs>
          <w:tab w:pos="945" w:val="left" w:leader="none"/>
        </w:tabs>
        <w:spacing w:before="91"/>
        <w:ind w:left="239" w:right="1060" w:firstLine="0"/>
        <w:jc w:val="left"/>
        <w:rPr>
          <w:rFonts w:ascii="Verdana" w:hAnsi="Verdana"/>
          <w:sz w:val="20"/>
        </w:rPr>
      </w:pPr>
      <w:r>
        <w:rPr>
          <w:rFonts w:ascii="Verdana" w:hAnsi="Verdana"/>
          <w:sz w:val="20"/>
          <w:vertAlign w:val="superscript"/>
        </w:rPr>
        <w:t>21</w:t>
      </w:r>
      <w:r>
        <w:rPr>
          <w:rFonts w:ascii="Verdana" w:hAnsi="Verdana"/>
          <w:spacing w:val="-3"/>
          <w:sz w:val="20"/>
          <w:vertAlign w:val="baseline"/>
        </w:rPr>
        <w:t> </w:t>
      </w:r>
      <w:r>
        <w:rPr>
          <w:rFonts w:ascii="Verdana" w:hAnsi="Verdana"/>
          <w:sz w:val="20"/>
          <w:vertAlign w:val="baseline"/>
        </w:rPr>
        <w:t>1.</w:t>
        <w:tab/>
      </w:r>
      <w:r>
        <w:rPr>
          <w:rFonts w:ascii="Verdana" w:hAnsi="Verdana"/>
          <w:b/>
          <w:sz w:val="20"/>
          <w:vertAlign w:val="baseline"/>
        </w:rPr>
        <w:t>DIAGNÓSTICO Y DEFINICIÓN DE LÍNEAS ESTRATÉGICAS DEL SUB-SECTOR ELÉCTRICO</w:t>
      </w:r>
      <w:r>
        <w:rPr>
          <w:rFonts w:ascii="Verdana" w:hAnsi="Verdana"/>
          <w:sz w:val="20"/>
          <w:vertAlign w:val="baseline"/>
        </w:rPr>
        <w:t>, Manuel Ignacio Dussan, Enero de</w:t>
      </w:r>
      <w:r>
        <w:rPr>
          <w:rFonts w:ascii="Verdana" w:hAnsi="Verdana"/>
          <w:spacing w:val="3"/>
          <w:sz w:val="20"/>
          <w:vertAlign w:val="baseline"/>
        </w:rPr>
        <w:t> </w:t>
      </w:r>
      <w:r>
        <w:rPr>
          <w:rFonts w:ascii="Verdana" w:hAnsi="Verdana"/>
          <w:sz w:val="20"/>
          <w:vertAlign w:val="baseline"/>
        </w:rPr>
        <w:t>2008.</w:t>
      </w:r>
    </w:p>
    <w:p>
      <w:pPr>
        <w:spacing w:line="242" w:lineRule="exact" w:before="0"/>
        <w:ind w:left="239" w:right="0" w:firstLine="0"/>
        <w:jc w:val="left"/>
        <w:rPr>
          <w:rFonts w:ascii="Verdana"/>
          <w:sz w:val="20"/>
        </w:rPr>
      </w:pPr>
      <w:r>
        <w:rPr>
          <w:rFonts w:ascii="Verdana"/>
          <w:sz w:val="20"/>
          <w:vertAlign w:val="superscript"/>
        </w:rPr>
        <w:t>22</w:t>
      </w:r>
      <w:r>
        <w:rPr>
          <w:rFonts w:ascii="Verdana"/>
          <w:sz w:val="20"/>
          <w:vertAlign w:val="baseline"/>
        </w:rPr>
        <w:t> Idem.</w:t>
      </w:r>
    </w:p>
    <w:p>
      <w:pPr>
        <w:spacing w:after="0" w:line="242" w:lineRule="exact"/>
        <w:jc w:val="left"/>
        <w:rPr>
          <w:rFonts w:ascii="Verdana"/>
          <w:sz w:val="20"/>
        </w:rPr>
        <w:sectPr>
          <w:pgSz w:w="12240" w:h="15840"/>
          <w:pgMar w:header="718" w:footer="954" w:top="1360" w:bottom="1140" w:left="1200" w:right="380"/>
        </w:sectPr>
      </w:pPr>
    </w:p>
    <w:p>
      <w:pPr>
        <w:pStyle w:val="BodyText"/>
        <w:spacing w:before="7"/>
        <w:rPr>
          <w:rFonts w:ascii="Verdana"/>
          <w:sz w:val="11"/>
        </w:rPr>
      </w:pPr>
    </w:p>
    <w:p>
      <w:pPr>
        <w:pStyle w:val="Heading3"/>
        <w:spacing w:before="103"/>
        <w:rPr>
          <w:i/>
        </w:rPr>
      </w:pPr>
      <w:bookmarkStart w:name="_TOC_250051" w:id="48"/>
      <w:bookmarkEnd w:id="48"/>
      <w:r>
        <w:rPr>
          <w:i/>
          <w:w w:val="110"/>
        </w:rPr>
        <w:t>Mercado industrial</w:t>
      </w:r>
    </w:p>
    <w:p>
      <w:pPr>
        <w:pStyle w:val="BodyText"/>
        <w:spacing w:before="2"/>
        <w:rPr>
          <w:rFonts w:ascii="Times New Roman"/>
          <w:b/>
          <w:i/>
          <w:sz w:val="24"/>
        </w:rPr>
      </w:pPr>
    </w:p>
    <w:p>
      <w:pPr>
        <w:pStyle w:val="BodyText"/>
        <w:ind w:left="239" w:right="1054"/>
        <w:jc w:val="both"/>
      </w:pPr>
      <w:r>
        <w:rPr/>
        <w:t>El gas natural es competitivo con el gasoil y el GLP no subsidiado y podría reemplazar al fueloil No. 6 dependiendo de las condiciones particulares de cada caso. Para el sector hotelero e industrial el mercado de grandes clientes se reduce al reemplazo del GLP y el gasoil ya que son estos combustibles los que presentan un buen diferencial respecto al precio del gas natural.</w:t>
      </w:r>
    </w:p>
    <w:p>
      <w:pPr>
        <w:pStyle w:val="BodyText"/>
      </w:pPr>
    </w:p>
    <w:p>
      <w:pPr>
        <w:pStyle w:val="BodyText"/>
        <w:ind w:left="239" w:right="1054"/>
        <w:jc w:val="both"/>
      </w:pPr>
      <w:r>
        <w:rPr/>
        <w:t>En cambio no parece factible el reemplazo de fueloil No. 6 debido a que el precio de éste es muy similar al precio del gas natural y por el reducido diferencial de precios no lograría recuperar las inversiones en transformación. En este contexto de paridad de precios entre el fuel oil y el gas natural establece que sólo podría ser atractivo en la medida que el cliente tuviera ciertos incentivos para realizar la substitución, tales como regulaciones medioambientales más estrictas para el uso del fueloil No. 6 frente a las bondades ambientales del Gas</w:t>
      </w:r>
      <w:r>
        <w:rPr>
          <w:spacing w:val="-1"/>
        </w:rPr>
        <w:t> </w:t>
      </w:r>
      <w:r>
        <w:rPr/>
        <w:t>Natural.</w:t>
      </w:r>
    </w:p>
    <w:p>
      <w:pPr>
        <w:pStyle w:val="BodyText"/>
        <w:spacing w:before="1"/>
      </w:pPr>
    </w:p>
    <w:p>
      <w:pPr>
        <w:pStyle w:val="BodyText"/>
        <w:spacing w:before="1"/>
        <w:ind w:left="239" w:right="1055"/>
        <w:jc w:val="both"/>
      </w:pPr>
      <w:r>
        <w:rPr/>
        <w:t>La posibilidad de captación de mercados para el gas natural de acceder al mercado más atractivo sería a través de un sistema de camiones criogénicos de transporte de GNL. Este sistema destinado a captar por el gas natural los consumos industriales y hoteleros actualmente abastecidos por Gasoil y GLP tienen la característica de ser dispersos y pequeños en términos relativos, lo que hace que sea más conveniente este sistema de distribución que el de las redes.</w:t>
      </w:r>
    </w:p>
    <w:p>
      <w:pPr>
        <w:pStyle w:val="BodyText"/>
        <w:spacing w:before="4"/>
      </w:pPr>
    </w:p>
    <w:p>
      <w:pPr>
        <w:pStyle w:val="Heading3"/>
        <w:rPr>
          <w:i/>
        </w:rPr>
      </w:pPr>
      <w:bookmarkStart w:name="_TOC_250050" w:id="49"/>
      <w:bookmarkEnd w:id="49"/>
      <w:r>
        <w:rPr>
          <w:i/>
          <w:w w:val="115"/>
        </w:rPr>
        <w:t>Sector transporte</w:t>
      </w:r>
    </w:p>
    <w:p>
      <w:pPr>
        <w:pStyle w:val="BodyText"/>
        <w:spacing w:before="2"/>
        <w:rPr>
          <w:rFonts w:ascii="Times New Roman"/>
          <w:b/>
          <w:i/>
          <w:sz w:val="24"/>
        </w:rPr>
      </w:pPr>
    </w:p>
    <w:p>
      <w:pPr>
        <w:pStyle w:val="BodyText"/>
        <w:ind w:left="239" w:right="1055"/>
        <w:jc w:val="both"/>
      </w:pPr>
      <w:r>
        <w:rPr/>
        <w:t>Para el caso de un automóvil mediano (consumo 49 Km/GL gasolina) y en las condiciones de precio vigentes en el mercado dominicano se tiene lo siguiente:1) El GNC es más conveniente</w:t>
      </w:r>
      <w:r>
        <w:rPr>
          <w:spacing w:val="9"/>
        </w:rPr>
        <w:t> </w:t>
      </w:r>
      <w:r>
        <w:rPr/>
        <w:t>que</w:t>
      </w:r>
      <w:r>
        <w:rPr>
          <w:spacing w:val="10"/>
        </w:rPr>
        <w:t> </w:t>
      </w:r>
      <w:r>
        <w:rPr/>
        <w:t>la</w:t>
      </w:r>
      <w:r>
        <w:rPr>
          <w:spacing w:val="7"/>
        </w:rPr>
        <w:t> </w:t>
      </w:r>
      <w:r>
        <w:rPr/>
        <w:t>gasolina</w:t>
      </w:r>
      <w:r>
        <w:rPr>
          <w:spacing w:val="8"/>
        </w:rPr>
        <w:t> </w:t>
      </w:r>
      <w:r>
        <w:rPr/>
        <w:t>siempre</w:t>
      </w:r>
      <w:r>
        <w:rPr>
          <w:spacing w:val="10"/>
        </w:rPr>
        <w:t> </w:t>
      </w:r>
      <w:r>
        <w:rPr/>
        <w:t>y</w:t>
      </w:r>
      <w:r>
        <w:rPr>
          <w:spacing w:val="8"/>
        </w:rPr>
        <w:t> </w:t>
      </w:r>
      <w:r>
        <w:rPr/>
        <w:t>cuando</w:t>
      </w:r>
      <w:r>
        <w:rPr>
          <w:spacing w:val="6"/>
        </w:rPr>
        <w:t> </w:t>
      </w:r>
      <w:r>
        <w:rPr/>
        <w:t>el</w:t>
      </w:r>
      <w:r>
        <w:rPr>
          <w:spacing w:val="9"/>
        </w:rPr>
        <w:t> </w:t>
      </w:r>
      <w:r>
        <w:rPr/>
        <w:t>vehículo</w:t>
      </w:r>
      <w:r>
        <w:rPr>
          <w:spacing w:val="7"/>
        </w:rPr>
        <w:t> </w:t>
      </w:r>
      <w:r>
        <w:rPr/>
        <w:t>circule</w:t>
      </w:r>
      <w:r>
        <w:rPr>
          <w:spacing w:val="10"/>
        </w:rPr>
        <w:t> </w:t>
      </w:r>
      <w:r>
        <w:rPr/>
        <w:t>más</w:t>
      </w:r>
      <w:r>
        <w:rPr>
          <w:spacing w:val="7"/>
        </w:rPr>
        <w:t> </w:t>
      </w:r>
      <w:r>
        <w:rPr/>
        <w:t>de</w:t>
      </w:r>
      <w:r>
        <w:rPr>
          <w:spacing w:val="9"/>
        </w:rPr>
        <w:t> </w:t>
      </w:r>
      <w:r>
        <w:rPr/>
        <w:t>10,000</w:t>
      </w:r>
      <w:r>
        <w:rPr>
          <w:spacing w:val="8"/>
        </w:rPr>
        <w:t> </w:t>
      </w:r>
      <w:r>
        <w:rPr/>
        <w:t>Km.</w:t>
      </w:r>
      <w:r>
        <w:rPr>
          <w:spacing w:val="8"/>
        </w:rPr>
        <w:t> </w:t>
      </w:r>
      <w:r>
        <w:rPr/>
        <w:t>/año;</w:t>
      </w:r>
    </w:p>
    <w:p>
      <w:pPr>
        <w:pStyle w:val="BodyText"/>
        <w:ind w:left="239" w:right="1054"/>
        <w:jc w:val="both"/>
      </w:pPr>
      <w:r>
        <w:rPr/>
        <w:t>2) El GNC es más conveniente que el GLP no subsidiado con un recorrido anual mayor de 20,000 Km. /año; 3) El GNC es más conveniente que el GLP subsidiado para un recorrido anual mayor de 100,000 Km. /año.</w:t>
      </w:r>
    </w:p>
    <w:p>
      <w:pPr>
        <w:pStyle w:val="BodyText"/>
        <w:spacing w:before="1"/>
      </w:pPr>
    </w:p>
    <w:p>
      <w:pPr>
        <w:pStyle w:val="BodyText"/>
        <w:ind w:left="239" w:right="1054"/>
        <w:jc w:val="both"/>
      </w:pPr>
      <w:r>
        <w:rPr/>
        <w:t>Sería esperable que el GNC en el mercado dominicano desplace económicamente a la gasolina; sin embargo, en las actuales circunstancias se estima que no logrará reemplazar al GLP subsidiado; y tendría una competencia dura frente al GLP sin</w:t>
      </w:r>
      <w:r>
        <w:rPr>
          <w:spacing w:val="-11"/>
        </w:rPr>
        <w:t> </w:t>
      </w:r>
      <w:r>
        <w:rPr/>
        <w:t>subsidios.</w:t>
      </w:r>
    </w:p>
    <w:p>
      <w:pPr>
        <w:pStyle w:val="BodyText"/>
        <w:spacing w:before="10"/>
        <w:rPr>
          <w:sz w:val="22"/>
        </w:rPr>
      </w:pPr>
    </w:p>
    <w:p>
      <w:pPr>
        <w:pStyle w:val="BodyText"/>
        <w:ind w:left="239" w:right="1055"/>
        <w:jc w:val="both"/>
      </w:pPr>
      <w:r>
        <w:rPr/>
        <w:t>La penetración del GNC en este sector dependerá del manejo futuro del consumo ilegal de GLP y del desarrollo de una red de distribución de GNC en estaciones de servicio del tamaño mínimo requerido para atender eficientemente a los vehículos</w:t>
      </w:r>
      <w:r>
        <w:rPr>
          <w:spacing w:val="-15"/>
        </w:rPr>
        <w:t> </w:t>
      </w:r>
      <w:r>
        <w:rPr/>
        <w:t>convertidos.</w:t>
      </w:r>
    </w:p>
    <w:p>
      <w:pPr>
        <w:pStyle w:val="BodyText"/>
        <w:spacing w:before="7"/>
      </w:pPr>
    </w:p>
    <w:p>
      <w:pPr>
        <w:pStyle w:val="Heading3"/>
        <w:rPr>
          <w:i/>
        </w:rPr>
      </w:pPr>
      <w:bookmarkStart w:name="_TOC_250049" w:id="50"/>
      <w:bookmarkEnd w:id="50"/>
      <w:r>
        <w:rPr>
          <w:i/>
          <w:w w:val="110"/>
        </w:rPr>
        <w:t>Desarrollo previsto de los mercados de gas natural</w:t>
      </w:r>
    </w:p>
    <w:p>
      <w:pPr>
        <w:pStyle w:val="BodyText"/>
        <w:spacing w:before="2"/>
        <w:rPr>
          <w:rFonts w:ascii="Times New Roman"/>
          <w:b/>
          <w:i/>
          <w:sz w:val="24"/>
        </w:rPr>
      </w:pPr>
    </w:p>
    <w:p>
      <w:pPr>
        <w:pStyle w:val="BodyText"/>
        <w:ind w:left="239" w:right="1053"/>
        <w:jc w:val="both"/>
      </w:pPr>
      <w:r>
        <w:rPr/>
        <w:t>Aun cuando existe una infraestructura adecuada para expandir la importación de GNL a República Dominicana para atender una demanda cuatro veces mayor al consumo actual, la demanda potencial va a depender fundamentalmente de la competitividad del gas natural</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5"/>
        <w:jc w:val="both"/>
      </w:pPr>
      <w:r>
        <w:rPr/>
        <w:t>con el carbón y las políticas adoptadas para promover el desarrollo de energía limpia para generación eléctrica. La demanda de gas en el sector industrial y el transporte es marginal y podría ser atendida por GNC hasta que se justifique el desarrollo de una red de gasoductos y se establezca un marco regulatorio apropiado para la nueva industria. Un estimativo realista de la demanda de GNL sería 1,200</w:t>
      </w:r>
      <w:r>
        <w:rPr>
          <w:spacing w:val="-10"/>
        </w:rPr>
        <w:t> </w:t>
      </w:r>
      <w:r>
        <w:rPr/>
        <w:t>Mm3/año.</w:t>
      </w:r>
    </w:p>
    <w:p>
      <w:pPr>
        <w:pStyle w:val="BodyText"/>
      </w:pPr>
    </w:p>
    <w:p>
      <w:pPr>
        <w:pStyle w:val="BodyText"/>
        <w:ind w:left="239" w:right="1053"/>
        <w:jc w:val="both"/>
      </w:pPr>
      <w:r>
        <w:rPr/>
        <w:t>El desarrollo previsto a mediano plazo para el negocio del gas natural en República Dominicana corresponde en líneas generales al siguiente esquema:</w:t>
      </w:r>
    </w:p>
    <w:p>
      <w:pPr>
        <w:pStyle w:val="BodyText"/>
        <w:spacing w:before="2"/>
      </w:pPr>
    </w:p>
    <w:p>
      <w:pPr>
        <w:pStyle w:val="ListParagraph"/>
        <w:numPr>
          <w:ilvl w:val="0"/>
          <w:numId w:val="50"/>
        </w:numPr>
        <w:tabs>
          <w:tab w:pos="692" w:val="left" w:leader="none"/>
        </w:tabs>
        <w:spacing w:line="240" w:lineRule="auto" w:before="0" w:after="0"/>
        <w:ind w:left="691" w:right="1056" w:hanging="392"/>
        <w:jc w:val="both"/>
        <w:rPr>
          <w:sz w:val="23"/>
        </w:rPr>
      </w:pPr>
      <w:r>
        <w:rPr>
          <w:sz w:val="23"/>
        </w:rPr>
        <w:t>Desarrollo del Gas Natural Comprimido (GNC), mediante gasoductos virtuales con venta a usuarios industriales pequeños y medianos y al sector de venta de GNC vehicular.</w:t>
      </w:r>
    </w:p>
    <w:p>
      <w:pPr>
        <w:pStyle w:val="ListParagraph"/>
        <w:numPr>
          <w:ilvl w:val="0"/>
          <w:numId w:val="50"/>
        </w:numPr>
        <w:tabs>
          <w:tab w:pos="692" w:val="left" w:leader="none"/>
        </w:tabs>
        <w:spacing w:line="240" w:lineRule="auto" w:before="0" w:after="0"/>
        <w:ind w:left="691" w:right="1056" w:hanging="392"/>
        <w:jc w:val="both"/>
        <w:rPr>
          <w:sz w:val="23"/>
        </w:rPr>
      </w:pPr>
      <w:r>
        <w:rPr>
          <w:sz w:val="23"/>
        </w:rPr>
        <w:t>Desarrollo de gasoductos virtuales mediante camiones cisterna criogénicos que transporten GNL. Esto permitiría un transporte de mayor volumen que la variante GNC y permitiría afrontar el abastecimiento de industrias</w:t>
      </w:r>
      <w:r>
        <w:rPr>
          <w:spacing w:val="-4"/>
          <w:sz w:val="23"/>
        </w:rPr>
        <w:t> </w:t>
      </w:r>
      <w:r>
        <w:rPr>
          <w:sz w:val="23"/>
        </w:rPr>
        <w:t>grandes.</w:t>
      </w:r>
    </w:p>
    <w:p>
      <w:pPr>
        <w:pStyle w:val="ListParagraph"/>
        <w:numPr>
          <w:ilvl w:val="0"/>
          <w:numId w:val="50"/>
        </w:numPr>
        <w:tabs>
          <w:tab w:pos="692" w:val="left" w:leader="none"/>
        </w:tabs>
        <w:spacing w:line="277" w:lineRule="exact" w:before="0" w:after="0"/>
        <w:ind w:left="691" w:right="0" w:hanging="392"/>
        <w:jc w:val="both"/>
        <w:rPr>
          <w:sz w:val="23"/>
        </w:rPr>
      </w:pPr>
      <w:r>
        <w:rPr>
          <w:sz w:val="23"/>
        </w:rPr>
        <w:t>Abastecimiento a la zona hotelera del</w:t>
      </w:r>
      <w:r>
        <w:rPr>
          <w:spacing w:val="-7"/>
          <w:sz w:val="23"/>
        </w:rPr>
        <w:t> </w:t>
      </w:r>
      <w:r>
        <w:rPr>
          <w:sz w:val="23"/>
        </w:rPr>
        <w:t>Este.</w:t>
      </w:r>
    </w:p>
    <w:p>
      <w:pPr>
        <w:pStyle w:val="ListParagraph"/>
        <w:numPr>
          <w:ilvl w:val="0"/>
          <w:numId w:val="50"/>
        </w:numPr>
        <w:tabs>
          <w:tab w:pos="692" w:val="left" w:leader="none"/>
        </w:tabs>
        <w:spacing w:line="277" w:lineRule="exact" w:before="0" w:after="0"/>
        <w:ind w:left="691" w:right="0" w:hanging="392"/>
        <w:jc w:val="both"/>
        <w:rPr>
          <w:sz w:val="23"/>
        </w:rPr>
      </w:pPr>
      <w:r>
        <w:rPr>
          <w:sz w:val="23"/>
        </w:rPr>
        <w:t>Generación Eléctrica, bajo consideraciones</w:t>
      </w:r>
      <w:r>
        <w:rPr>
          <w:spacing w:val="-3"/>
          <w:sz w:val="23"/>
        </w:rPr>
        <w:t> </w:t>
      </w:r>
      <w:r>
        <w:rPr>
          <w:sz w:val="23"/>
        </w:rPr>
        <w:t>ambientales.</w:t>
      </w:r>
    </w:p>
    <w:p>
      <w:pPr>
        <w:pStyle w:val="ListParagraph"/>
        <w:numPr>
          <w:ilvl w:val="0"/>
          <w:numId w:val="50"/>
        </w:numPr>
        <w:tabs>
          <w:tab w:pos="692" w:val="left" w:leader="none"/>
        </w:tabs>
        <w:spacing w:line="240" w:lineRule="auto" w:before="1" w:after="0"/>
        <w:ind w:left="691" w:right="1054" w:hanging="392"/>
        <w:jc w:val="both"/>
        <w:rPr>
          <w:sz w:val="23"/>
        </w:rPr>
      </w:pPr>
      <w:r>
        <w:rPr>
          <w:sz w:val="23"/>
        </w:rPr>
        <w:t>Promoción y desarrollo de nuevos almacenamientos y generación basada en GN en la parte noroccidental de la isla.</w:t>
      </w:r>
    </w:p>
    <w:p>
      <w:pPr>
        <w:pStyle w:val="BodyText"/>
      </w:pPr>
    </w:p>
    <w:p>
      <w:pPr>
        <w:pStyle w:val="BodyText"/>
        <w:ind w:left="240" w:right="1054" w:hanging="1"/>
        <w:jc w:val="both"/>
      </w:pPr>
      <w:r>
        <w:rPr/>
        <w:t>A largo plazo conviene diversificar la oferta y la competencia en el abastecimiento. Se propone estudiar la conveniencia de otra planta de regasificación en la zona norte para atender la demanda eléctrica, industrial, residencial, comercial y de transporte. Así mismo, considerar una planta de recibo de gas natural comprimido en la zona Este para atender la demanda hotelera y la generación eléctrica. La región Este, con una demanda cautiva tanto de sus calóricos como de electricidad, se presta como ninguna otra para un proyecto de importación de gas natural comprimido a una escala moderada y adecuada a su demanda.</w:t>
      </w:r>
    </w:p>
    <w:p>
      <w:pPr>
        <w:pStyle w:val="BodyText"/>
        <w:spacing w:before="5"/>
      </w:pPr>
    </w:p>
    <w:p>
      <w:pPr>
        <w:pStyle w:val="Heading3"/>
        <w:rPr>
          <w:i/>
        </w:rPr>
      </w:pPr>
      <w:bookmarkStart w:name="_TOC_250048" w:id="51"/>
      <w:bookmarkEnd w:id="51"/>
      <w:r>
        <w:rPr>
          <w:i/>
          <w:w w:val="110"/>
        </w:rPr>
        <w:t>Marco regulatorio para el gas natural</w:t>
      </w:r>
    </w:p>
    <w:p>
      <w:pPr>
        <w:pStyle w:val="BodyText"/>
        <w:spacing w:before="5"/>
        <w:rPr>
          <w:rFonts w:ascii="Times New Roman"/>
          <w:b/>
          <w:i/>
          <w:sz w:val="26"/>
        </w:rPr>
      </w:pPr>
    </w:p>
    <w:p>
      <w:pPr>
        <w:pStyle w:val="BodyText"/>
        <w:ind w:left="240" w:right="1054"/>
        <w:jc w:val="both"/>
      </w:pPr>
      <w:r>
        <w:rPr/>
        <w:t>El marco regulatorio debe ser una Ley sancionada por el Congreso Nacional, evitando en lo posible que dicho Marco sea implementado por normativa de menor jerarquía; y debe contener mínimamente los siguientes capítulos:</w:t>
      </w:r>
    </w:p>
    <w:p>
      <w:pPr>
        <w:pStyle w:val="BodyText"/>
        <w:spacing w:before="1"/>
      </w:pPr>
    </w:p>
    <w:p>
      <w:pPr>
        <w:pStyle w:val="ListParagraph"/>
        <w:numPr>
          <w:ilvl w:val="0"/>
          <w:numId w:val="51"/>
        </w:numPr>
        <w:tabs>
          <w:tab w:pos="507" w:val="left" w:leader="none"/>
        </w:tabs>
        <w:spacing w:line="240" w:lineRule="auto" w:before="0" w:after="0"/>
        <w:ind w:left="506" w:right="0" w:hanging="267"/>
        <w:jc w:val="left"/>
        <w:rPr>
          <w:sz w:val="23"/>
        </w:rPr>
      </w:pPr>
      <w:r>
        <w:rPr>
          <w:sz w:val="23"/>
        </w:rPr>
        <w:t>Marco regulatorio para realizar importaciones y exportaciones de gas</w:t>
      </w:r>
      <w:r>
        <w:rPr>
          <w:spacing w:val="-7"/>
          <w:sz w:val="23"/>
        </w:rPr>
        <w:t> </w:t>
      </w:r>
      <w:r>
        <w:rPr>
          <w:sz w:val="23"/>
        </w:rPr>
        <w:t>natural.</w:t>
      </w:r>
    </w:p>
    <w:p>
      <w:pPr>
        <w:pStyle w:val="ListParagraph"/>
        <w:numPr>
          <w:ilvl w:val="0"/>
          <w:numId w:val="51"/>
        </w:numPr>
        <w:tabs>
          <w:tab w:pos="507" w:val="left" w:leader="none"/>
        </w:tabs>
        <w:spacing w:line="277" w:lineRule="exact" w:before="1" w:after="0"/>
        <w:ind w:left="506" w:right="0" w:hanging="267"/>
        <w:jc w:val="left"/>
        <w:rPr>
          <w:sz w:val="23"/>
        </w:rPr>
      </w:pPr>
      <w:r>
        <w:rPr>
          <w:sz w:val="23"/>
        </w:rPr>
        <w:t>Autorización y requisitos para las inversiones en infraestructura de gas</w:t>
      </w:r>
      <w:r>
        <w:rPr>
          <w:spacing w:val="-9"/>
          <w:sz w:val="23"/>
        </w:rPr>
        <w:t> </w:t>
      </w:r>
      <w:r>
        <w:rPr>
          <w:sz w:val="23"/>
        </w:rPr>
        <w:t>natural.</w:t>
      </w:r>
    </w:p>
    <w:p>
      <w:pPr>
        <w:pStyle w:val="ListParagraph"/>
        <w:numPr>
          <w:ilvl w:val="0"/>
          <w:numId w:val="51"/>
        </w:numPr>
        <w:tabs>
          <w:tab w:pos="507" w:val="left" w:leader="none"/>
        </w:tabs>
        <w:spacing w:line="277" w:lineRule="exact" w:before="0" w:after="0"/>
        <w:ind w:left="506" w:right="0" w:hanging="267"/>
        <w:jc w:val="left"/>
        <w:rPr>
          <w:sz w:val="23"/>
        </w:rPr>
      </w:pPr>
      <w:r>
        <w:rPr>
          <w:sz w:val="23"/>
        </w:rPr>
        <w:t>Regulación de uso y derecho de acceso a las instalaciones de gas</w:t>
      </w:r>
      <w:r>
        <w:rPr>
          <w:spacing w:val="-7"/>
          <w:sz w:val="23"/>
        </w:rPr>
        <w:t> </w:t>
      </w:r>
      <w:r>
        <w:rPr>
          <w:sz w:val="23"/>
        </w:rPr>
        <w:t>natural.</w:t>
      </w:r>
    </w:p>
    <w:p>
      <w:pPr>
        <w:pStyle w:val="ListParagraph"/>
        <w:numPr>
          <w:ilvl w:val="0"/>
          <w:numId w:val="51"/>
        </w:numPr>
        <w:tabs>
          <w:tab w:pos="507" w:val="left" w:leader="none"/>
        </w:tabs>
        <w:spacing w:line="240" w:lineRule="auto" w:before="1" w:after="0"/>
        <w:ind w:left="506" w:right="0" w:hanging="267"/>
        <w:jc w:val="left"/>
        <w:rPr>
          <w:sz w:val="23"/>
        </w:rPr>
      </w:pPr>
      <w:r>
        <w:rPr>
          <w:sz w:val="23"/>
        </w:rPr>
        <w:t>Transporte y distribución de gas</w:t>
      </w:r>
      <w:r>
        <w:rPr>
          <w:spacing w:val="1"/>
          <w:sz w:val="23"/>
        </w:rPr>
        <w:t> </w:t>
      </w:r>
      <w:r>
        <w:rPr>
          <w:sz w:val="23"/>
        </w:rPr>
        <w:t>natural:</w:t>
      </w:r>
    </w:p>
    <w:p>
      <w:pPr>
        <w:pStyle w:val="ListParagraph"/>
        <w:numPr>
          <w:ilvl w:val="1"/>
          <w:numId w:val="51"/>
        </w:numPr>
        <w:tabs>
          <w:tab w:pos="1102" w:val="left" w:leader="none"/>
        </w:tabs>
        <w:spacing w:line="277" w:lineRule="exact" w:before="1" w:after="0"/>
        <w:ind w:left="1101" w:right="0" w:hanging="157"/>
        <w:jc w:val="left"/>
        <w:rPr>
          <w:sz w:val="23"/>
        </w:rPr>
      </w:pPr>
      <w:r>
        <w:rPr>
          <w:sz w:val="23"/>
        </w:rPr>
        <w:t>Requisitos,</w:t>
      </w:r>
      <w:r>
        <w:rPr>
          <w:spacing w:val="-1"/>
          <w:sz w:val="23"/>
        </w:rPr>
        <w:t> </w:t>
      </w:r>
      <w:r>
        <w:rPr>
          <w:sz w:val="23"/>
        </w:rPr>
        <w:t>autorizaciones.</w:t>
      </w:r>
    </w:p>
    <w:p>
      <w:pPr>
        <w:pStyle w:val="ListParagraph"/>
        <w:numPr>
          <w:ilvl w:val="1"/>
          <w:numId w:val="51"/>
        </w:numPr>
        <w:tabs>
          <w:tab w:pos="1102" w:val="left" w:leader="none"/>
        </w:tabs>
        <w:spacing w:line="277" w:lineRule="exact" w:before="0" w:after="0"/>
        <w:ind w:left="1101" w:right="0" w:hanging="157"/>
        <w:jc w:val="left"/>
        <w:rPr>
          <w:sz w:val="23"/>
        </w:rPr>
      </w:pPr>
      <w:r>
        <w:rPr>
          <w:sz w:val="23"/>
        </w:rPr>
        <w:t>Habilitaciones.</w:t>
      </w:r>
    </w:p>
    <w:p>
      <w:pPr>
        <w:pStyle w:val="ListParagraph"/>
        <w:numPr>
          <w:ilvl w:val="1"/>
          <w:numId w:val="51"/>
        </w:numPr>
        <w:tabs>
          <w:tab w:pos="1102" w:val="left" w:leader="none"/>
        </w:tabs>
        <w:spacing w:line="240" w:lineRule="auto" w:before="0" w:after="0"/>
        <w:ind w:left="1101" w:right="0" w:hanging="157"/>
        <w:jc w:val="left"/>
        <w:rPr>
          <w:sz w:val="23"/>
        </w:rPr>
      </w:pPr>
      <w:r>
        <w:rPr>
          <w:sz w:val="23"/>
        </w:rPr>
        <w:t>Tiempo de duración de los</w:t>
      </w:r>
      <w:r>
        <w:rPr>
          <w:spacing w:val="2"/>
          <w:sz w:val="23"/>
        </w:rPr>
        <w:t> </w:t>
      </w:r>
      <w:r>
        <w:rPr>
          <w:sz w:val="23"/>
        </w:rPr>
        <w:t>permisos.</w:t>
      </w:r>
    </w:p>
    <w:p>
      <w:pPr>
        <w:pStyle w:val="ListParagraph"/>
        <w:numPr>
          <w:ilvl w:val="0"/>
          <w:numId w:val="52"/>
        </w:numPr>
        <w:tabs>
          <w:tab w:pos="550" w:val="left" w:leader="none"/>
        </w:tabs>
        <w:spacing w:line="240" w:lineRule="auto" w:before="1" w:after="0"/>
        <w:ind w:left="240" w:right="1055" w:firstLine="0"/>
        <w:jc w:val="left"/>
        <w:rPr>
          <w:sz w:val="23"/>
        </w:rPr>
      </w:pPr>
      <w:r>
        <w:rPr>
          <w:sz w:val="23"/>
        </w:rPr>
        <w:t>Sujetos de la Industria Gasífera: Importador; Almacenaje; Transportista; Distribuidor; Comercializador, Derechos y Obligaciones. Posibles</w:t>
      </w:r>
      <w:r>
        <w:rPr>
          <w:spacing w:val="-6"/>
          <w:sz w:val="23"/>
        </w:rPr>
        <w:t> </w:t>
      </w:r>
      <w:r>
        <w:rPr>
          <w:sz w:val="23"/>
        </w:rPr>
        <w:t>incompatibilidades.</w:t>
      </w:r>
    </w:p>
    <w:p>
      <w:pPr>
        <w:pStyle w:val="ListParagraph"/>
        <w:numPr>
          <w:ilvl w:val="0"/>
          <w:numId w:val="52"/>
        </w:numPr>
        <w:tabs>
          <w:tab w:pos="507" w:val="left" w:leader="none"/>
        </w:tabs>
        <w:spacing w:line="277" w:lineRule="exact" w:before="0" w:after="0"/>
        <w:ind w:left="506" w:right="0" w:hanging="267"/>
        <w:jc w:val="left"/>
        <w:rPr>
          <w:sz w:val="23"/>
        </w:rPr>
      </w:pPr>
      <w:r>
        <w:rPr>
          <w:sz w:val="23"/>
        </w:rPr>
        <w:t>Modalidades y exigencias para la prestación de los</w:t>
      </w:r>
      <w:r>
        <w:rPr>
          <w:spacing w:val="-4"/>
          <w:sz w:val="23"/>
        </w:rPr>
        <w:t> </w:t>
      </w:r>
      <w:r>
        <w:rPr>
          <w:sz w:val="23"/>
        </w:rPr>
        <w:t>servicios.</w:t>
      </w:r>
    </w:p>
    <w:p>
      <w:pPr>
        <w:pStyle w:val="ListParagraph"/>
        <w:numPr>
          <w:ilvl w:val="0"/>
          <w:numId w:val="52"/>
        </w:numPr>
        <w:tabs>
          <w:tab w:pos="507" w:val="left" w:leader="none"/>
        </w:tabs>
        <w:spacing w:line="240" w:lineRule="auto" w:before="1" w:after="0"/>
        <w:ind w:left="506" w:right="0" w:hanging="267"/>
        <w:jc w:val="left"/>
        <w:rPr>
          <w:sz w:val="23"/>
        </w:rPr>
      </w:pPr>
      <w:r>
        <w:rPr>
          <w:sz w:val="23"/>
        </w:rPr>
        <w:t>Tarifas</w:t>
      </w:r>
    </w:p>
    <w:p>
      <w:pPr>
        <w:spacing w:after="0" w:line="240" w:lineRule="auto"/>
        <w:jc w:val="left"/>
        <w:rPr>
          <w:sz w:val="23"/>
        </w:rPr>
        <w:sectPr>
          <w:pgSz w:w="12240" w:h="15840"/>
          <w:pgMar w:header="718" w:footer="954" w:top="1360" w:bottom="1140" w:left="1200" w:right="380"/>
        </w:sectPr>
      </w:pPr>
    </w:p>
    <w:p>
      <w:pPr>
        <w:pStyle w:val="BodyText"/>
        <w:spacing w:before="4"/>
        <w:rPr>
          <w:sz w:val="11"/>
        </w:rPr>
      </w:pPr>
    </w:p>
    <w:p>
      <w:pPr>
        <w:pStyle w:val="ListParagraph"/>
        <w:numPr>
          <w:ilvl w:val="1"/>
          <w:numId w:val="52"/>
        </w:numPr>
        <w:tabs>
          <w:tab w:pos="1102" w:val="left" w:leader="none"/>
        </w:tabs>
        <w:spacing w:line="240" w:lineRule="auto" w:before="101" w:after="0"/>
        <w:ind w:left="1101" w:right="0" w:hanging="157"/>
        <w:jc w:val="left"/>
        <w:rPr>
          <w:sz w:val="23"/>
        </w:rPr>
      </w:pPr>
      <w:r>
        <w:rPr>
          <w:sz w:val="23"/>
        </w:rPr>
        <w:t>Principios</w:t>
      </w:r>
      <w:r>
        <w:rPr>
          <w:spacing w:val="-1"/>
          <w:sz w:val="23"/>
        </w:rPr>
        <w:t> </w:t>
      </w:r>
      <w:r>
        <w:rPr>
          <w:sz w:val="23"/>
        </w:rPr>
        <w:t>tarifarios.</w:t>
      </w:r>
    </w:p>
    <w:p>
      <w:pPr>
        <w:pStyle w:val="ListParagraph"/>
        <w:numPr>
          <w:ilvl w:val="1"/>
          <w:numId w:val="52"/>
        </w:numPr>
        <w:tabs>
          <w:tab w:pos="1102" w:val="left" w:leader="none"/>
        </w:tabs>
        <w:spacing w:line="240" w:lineRule="auto" w:before="1" w:after="0"/>
        <w:ind w:left="1101" w:right="0" w:hanging="157"/>
        <w:jc w:val="left"/>
        <w:rPr>
          <w:sz w:val="23"/>
        </w:rPr>
      </w:pPr>
      <w:r>
        <w:rPr>
          <w:sz w:val="23"/>
        </w:rPr>
        <w:t>Forma de regulación por parte del</w:t>
      </w:r>
      <w:r>
        <w:rPr>
          <w:spacing w:val="1"/>
          <w:sz w:val="23"/>
        </w:rPr>
        <w:t> </w:t>
      </w:r>
      <w:r>
        <w:rPr>
          <w:sz w:val="23"/>
        </w:rPr>
        <w:t>regulador.</w:t>
      </w:r>
    </w:p>
    <w:p>
      <w:pPr>
        <w:pStyle w:val="ListParagraph"/>
        <w:numPr>
          <w:ilvl w:val="0"/>
          <w:numId w:val="52"/>
        </w:numPr>
        <w:tabs>
          <w:tab w:pos="507" w:val="left" w:leader="none"/>
        </w:tabs>
        <w:spacing w:line="277" w:lineRule="exact" w:before="0" w:after="0"/>
        <w:ind w:left="506" w:right="0" w:hanging="268"/>
        <w:jc w:val="left"/>
        <w:rPr>
          <w:sz w:val="23"/>
        </w:rPr>
      </w:pPr>
      <w:r>
        <w:rPr>
          <w:sz w:val="23"/>
        </w:rPr>
        <w:t>Organismo Regulatorio: misión y funciones. Ente</w:t>
      </w:r>
      <w:r>
        <w:rPr>
          <w:spacing w:val="-10"/>
          <w:sz w:val="23"/>
        </w:rPr>
        <w:t> </w:t>
      </w:r>
      <w:r>
        <w:rPr>
          <w:sz w:val="23"/>
        </w:rPr>
        <w:t>Regulador.</w:t>
      </w:r>
    </w:p>
    <w:p>
      <w:pPr>
        <w:pStyle w:val="ListParagraph"/>
        <w:numPr>
          <w:ilvl w:val="0"/>
          <w:numId w:val="52"/>
        </w:numPr>
        <w:tabs>
          <w:tab w:pos="507" w:val="left" w:leader="none"/>
        </w:tabs>
        <w:spacing w:line="277" w:lineRule="exact" w:before="0" w:after="0"/>
        <w:ind w:left="506" w:right="0" w:hanging="268"/>
        <w:jc w:val="left"/>
        <w:rPr>
          <w:sz w:val="23"/>
        </w:rPr>
      </w:pPr>
      <w:r>
        <w:rPr>
          <w:sz w:val="23"/>
        </w:rPr>
        <w:t>Procedimientos administrativos y control</w:t>
      </w:r>
      <w:r>
        <w:rPr>
          <w:spacing w:val="-3"/>
          <w:sz w:val="23"/>
        </w:rPr>
        <w:t> </w:t>
      </w:r>
      <w:r>
        <w:rPr>
          <w:sz w:val="23"/>
        </w:rPr>
        <w:t>jurisdiccional.</w:t>
      </w:r>
    </w:p>
    <w:p>
      <w:pPr>
        <w:pStyle w:val="ListParagraph"/>
        <w:numPr>
          <w:ilvl w:val="0"/>
          <w:numId w:val="52"/>
        </w:numPr>
        <w:tabs>
          <w:tab w:pos="507" w:val="left" w:leader="none"/>
        </w:tabs>
        <w:spacing w:line="240" w:lineRule="auto" w:before="1" w:after="0"/>
        <w:ind w:left="506" w:right="0" w:hanging="268"/>
        <w:jc w:val="left"/>
        <w:rPr>
          <w:sz w:val="23"/>
        </w:rPr>
      </w:pPr>
      <w:r>
        <w:rPr>
          <w:sz w:val="23"/>
        </w:rPr>
        <w:t>Contravenciones y</w:t>
      </w:r>
      <w:r>
        <w:rPr>
          <w:spacing w:val="-2"/>
          <w:sz w:val="23"/>
        </w:rPr>
        <w:t> </w:t>
      </w:r>
      <w:r>
        <w:rPr>
          <w:sz w:val="23"/>
        </w:rPr>
        <w:t>Sanciones.</w:t>
      </w:r>
    </w:p>
    <w:p>
      <w:pPr>
        <w:pStyle w:val="BodyText"/>
        <w:spacing w:before="11"/>
        <w:rPr>
          <w:sz w:val="22"/>
        </w:rPr>
      </w:pPr>
    </w:p>
    <w:p>
      <w:pPr>
        <w:pStyle w:val="BodyText"/>
        <w:ind w:left="223" w:right="1060"/>
      </w:pPr>
      <w:r>
        <w:rPr/>
        <w:t>Las políticas orientadas a desarrollar el mercado de gas natural coinciden con algunas ya planteadas para la electricidad y el GLP.</w:t>
      </w:r>
    </w:p>
    <w:p>
      <w:pPr>
        <w:pStyle w:val="BodyText"/>
        <w:spacing w:before="3"/>
      </w:pPr>
    </w:p>
    <w:p>
      <w:pPr>
        <w:pStyle w:val="ListParagraph"/>
        <w:numPr>
          <w:ilvl w:val="0"/>
          <w:numId w:val="53"/>
        </w:numPr>
        <w:tabs>
          <w:tab w:pos="600" w:val="left" w:leader="none"/>
        </w:tabs>
        <w:spacing w:line="240" w:lineRule="auto" w:before="0" w:after="0"/>
        <w:ind w:left="599" w:right="1053" w:hanging="360"/>
        <w:jc w:val="both"/>
        <w:rPr>
          <w:sz w:val="23"/>
        </w:rPr>
      </w:pPr>
      <w:r>
        <w:rPr>
          <w:sz w:val="23"/>
        </w:rPr>
        <w:t>Implementar políticas estrictas sobre protección al medio ambiente, que obliguen a internalizar los costos del impacto ambiental de las plantas a carbón (inversiones y gastos de operación adicionales asociados con tecnologías de carbón limpio) y uso de fuel oil en la industria y en generación</w:t>
      </w:r>
      <w:r>
        <w:rPr>
          <w:spacing w:val="-7"/>
          <w:sz w:val="23"/>
        </w:rPr>
        <w:t> </w:t>
      </w:r>
      <w:r>
        <w:rPr>
          <w:sz w:val="23"/>
        </w:rPr>
        <w:t>eléctrica.</w:t>
      </w:r>
    </w:p>
    <w:p>
      <w:pPr>
        <w:pStyle w:val="ListParagraph"/>
        <w:numPr>
          <w:ilvl w:val="0"/>
          <w:numId w:val="53"/>
        </w:numPr>
        <w:tabs>
          <w:tab w:pos="600" w:val="left" w:leader="none"/>
        </w:tabs>
        <w:spacing w:line="240" w:lineRule="auto" w:before="0" w:after="0"/>
        <w:ind w:left="599" w:right="1055" w:hanging="360"/>
        <w:jc w:val="both"/>
        <w:rPr>
          <w:sz w:val="23"/>
        </w:rPr>
      </w:pPr>
      <w:r>
        <w:rPr>
          <w:sz w:val="23"/>
        </w:rPr>
        <w:t>Institucionalizar y regularizar el uso del GLP vehicular para evitar la competencia desleal con la gasolina y el</w:t>
      </w:r>
      <w:r>
        <w:rPr>
          <w:spacing w:val="-1"/>
          <w:sz w:val="23"/>
        </w:rPr>
        <w:t> </w:t>
      </w:r>
      <w:r>
        <w:rPr>
          <w:sz w:val="23"/>
        </w:rPr>
        <w:t>GNC.</w:t>
      </w:r>
    </w:p>
    <w:p>
      <w:pPr>
        <w:pStyle w:val="ListParagraph"/>
        <w:numPr>
          <w:ilvl w:val="0"/>
          <w:numId w:val="53"/>
        </w:numPr>
        <w:tabs>
          <w:tab w:pos="600" w:val="left" w:leader="none"/>
        </w:tabs>
        <w:spacing w:line="279" w:lineRule="exact" w:before="0" w:after="0"/>
        <w:ind w:left="600" w:right="0" w:hanging="360"/>
        <w:jc w:val="both"/>
        <w:rPr>
          <w:rFonts w:ascii="Times New Roman"/>
          <w:sz w:val="24"/>
        </w:rPr>
      </w:pPr>
      <w:r>
        <w:rPr>
          <w:sz w:val="23"/>
        </w:rPr>
        <w:t>Desarrollar un marco regulatorio para el gas</w:t>
      </w:r>
      <w:r>
        <w:rPr>
          <w:spacing w:val="-3"/>
          <w:sz w:val="23"/>
        </w:rPr>
        <w:t> </w:t>
      </w:r>
      <w:r>
        <w:rPr>
          <w:sz w:val="23"/>
        </w:rPr>
        <w:t>natural.</w:t>
      </w:r>
    </w:p>
    <w:p>
      <w:pPr>
        <w:pStyle w:val="ListParagraph"/>
        <w:numPr>
          <w:ilvl w:val="0"/>
          <w:numId w:val="53"/>
        </w:numPr>
        <w:tabs>
          <w:tab w:pos="601" w:val="left" w:leader="none"/>
        </w:tabs>
        <w:spacing w:line="240" w:lineRule="auto" w:before="0" w:after="0"/>
        <w:ind w:left="600" w:right="1055" w:hanging="360"/>
        <w:jc w:val="both"/>
        <w:rPr>
          <w:sz w:val="24"/>
        </w:rPr>
      </w:pPr>
      <w:r>
        <w:rPr>
          <w:sz w:val="23"/>
        </w:rPr>
        <w:t>Realizar un estudio del mercado industrial real en Santo Domingo respecto de las potencialidades del Gas Natural Licuado (GNL), incluyendo la factibilidad de construir una red de distribución a partir de la terminal metanera de</w:t>
      </w:r>
      <w:r>
        <w:rPr>
          <w:spacing w:val="-7"/>
          <w:sz w:val="23"/>
        </w:rPr>
        <w:t> </w:t>
      </w:r>
      <w:r>
        <w:rPr>
          <w:sz w:val="23"/>
        </w:rPr>
        <w:t>AES.</w:t>
      </w:r>
    </w:p>
    <w:p>
      <w:pPr>
        <w:pStyle w:val="ListParagraph"/>
        <w:numPr>
          <w:ilvl w:val="0"/>
          <w:numId w:val="53"/>
        </w:numPr>
        <w:tabs>
          <w:tab w:pos="601" w:val="left" w:leader="none"/>
        </w:tabs>
        <w:spacing w:line="240" w:lineRule="auto" w:before="0" w:after="0"/>
        <w:ind w:left="600" w:right="1054" w:hanging="360"/>
        <w:jc w:val="both"/>
        <w:rPr>
          <w:sz w:val="24"/>
        </w:rPr>
      </w:pPr>
      <w:r>
        <w:rPr>
          <w:sz w:val="23"/>
        </w:rPr>
        <w:t>Promover la diversificación y la competencia en el abastecimiento de gas natural considerando otra planta de regasificación en el norte del país para atender la demanda de esta zona y/o de recibo de gas natural comprimido (GNC) en las zonas</w:t>
      </w:r>
      <w:r>
        <w:rPr>
          <w:spacing w:val="-22"/>
          <w:sz w:val="23"/>
        </w:rPr>
        <w:t> </w:t>
      </w:r>
      <w:r>
        <w:rPr>
          <w:sz w:val="23"/>
        </w:rPr>
        <w:t>hoteleras.</w:t>
      </w:r>
    </w:p>
    <w:p>
      <w:pPr>
        <w:pStyle w:val="ListParagraph"/>
        <w:numPr>
          <w:ilvl w:val="0"/>
          <w:numId w:val="53"/>
        </w:numPr>
        <w:tabs>
          <w:tab w:pos="601" w:val="left" w:leader="none"/>
        </w:tabs>
        <w:spacing w:line="240" w:lineRule="auto" w:before="0" w:after="0"/>
        <w:ind w:left="600" w:right="1054" w:hanging="360"/>
        <w:jc w:val="both"/>
        <w:rPr>
          <w:sz w:val="24"/>
        </w:rPr>
      </w:pPr>
      <w:r>
        <w:rPr>
          <w:sz w:val="23"/>
        </w:rPr>
        <w:t>El gas natural comprimido (GNC) es una opción que debe considerarse para la zona Este hotelera, dado que los proyectos de GNL (forma líquida) son muy grandes y costosos. Los de GNC son más pequeños, de menor inversión y se pueden direccionar a proyectos o zonas</w:t>
      </w:r>
      <w:r>
        <w:rPr>
          <w:spacing w:val="-1"/>
          <w:sz w:val="23"/>
        </w:rPr>
        <w:t> </w:t>
      </w:r>
      <w:r>
        <w:rPr>
          <w:sz w:val="23"/>
        </w:rPr>
        <w:t>específicas.</w:t>
      </w:r>
    </w:p>
    <w:p>
      <w:pPr>
        <w:spacing w:after="0" w:line="240" w:lineRule="auto"/>
        <w:jc w:val="both"/>
        <w:rPr>
          <w:sz w:val="24"/>
        </w:rPr>
        <w:sectPr>
          <w:pgSz w:w="12240" w:h="15840"/>
          <w:pgMar w:header="718" w:footer="954" w:top="1360" w:bottom="1140" w:left="1200" w:right="380"/>
        </w:sectPr>
      </w:pPr>
    </w:p>
    <w:p>
      <w:pPr>
        <w:pStyle w:val="BodyText"/>
        <w:rPr>
          <w:sz w:val="20"/>
        </w:rPr>
      </w:pPr>
    </w:p>
    <w:p>
      <w:pPr>
        <w:pStyle w:val="BodyText"/>
        <w:spacing w:before="8"/>
        <w:rPr>
          <w:sz w:val="17"/>
        </w:rPr>
      </w:pPr>
    </w:p>
    <w:p>
      <w:pPr>
        <w:pStyle w:val="Heading1"/>
        <w:ind w:left="1986" w:right="2805"/>
        <w:rPr>
          <w:rFonts w:ascii="Arial" w:hAnsi="Arial"/>
        </w:rPr>
      </w:pPr>
      <w:r>
        <w:rPr>
          <w:rFonts w:ascii="Arial" w:hAnsi="Arial"/>
        </w:rPr>
        <w:t>CAPÍTULO 4</w:t>
      </w:r>
    </w:p>
    <w:p>
      <w:pPr>
        <w:pStyle w:val="BodyText"/>
        <w:rPr>
          <w:rFonts w:ascii="Arial"/>
          <w:b/>
          <w:sz w:val="28"/>
        </w:rPr>
      </w:pPr>
    </w:p>
    <w:p>
      <w:pPr>
        <w:pStyle w:val="BodyText"/>
        <w:spacing w:before="8"/>
        <w:rPr>
          <w:rFonts w:ascii="Arial"/>
          <w:b/>
          <w:sz w:val="24"/>
        </w:rPr>
      </w:pPr>
    </w:p>
    <w:p>
      <w:pPr>
        <w:pStyle w:val="Heading2"/>
        <w:ind w:left="3554" w:right="1444" w:hanging="2194"/>
      </w:pPr>
      <w:bookmarkStart w:name="_TOC_250047" w:id="52"/>
      <w:bookmarkEnd w:id="52"/>
      <w:r>
        <w:rPr/>
        <w:t>INCREMENTAR LA EFICIENCIA ENERGÉTICA Y EL USO RACIONAL DE ENERGÍA</w:t>
      </w:r>
    </w:p>
    <w:p>
      <w:pPr>
        <w:pStyle w:val="BodyText"/>
        <w:rPr>
          <w:rFonts w:ascii="Verdana"/>
          <w:b/>
          <w:sz w:val="32"/>
        </w:rPr>
      </w:pPr>
    </w:p>
    <w:p>
      <w:pPr>
        <w:pStyle w:val="BodyText"/>
        <w:spacing w:before="203"/>
        <w:ind w:left="239" w:right="1054"/>
        <w:jc w:val="both"/>
      </w:pPr>
      <w:r>
        <w:rPr/>
        <w:t>Los lineamientos estratégicos para establecer un programa de URE deben diferenciar los objetivos a largo y mediano plazo de las metas a dos años. El PEN identifica las acciones a tomar y los instrumentos para alcanzar los objetivos específicos de cada tarea y hace una programación donde se indiquen cuándo y cómo se deben tomar cada una de dichas acciones.</w:t>
      </w:r>
    </w:p>
    <w:p>
      <w:pPr>
        <w:pStyle w:val="BodyText"/>
      </w:pPr>
    </w:p>
    <w:p>
      <w:pPr>
        <w:pStyle w:val="BodyText"/>
        <w:ind w:left="239" w:right="1056"/>
        <w:jc w:val="both"/>
      </w:pPr>
      <w:r>
        <w:rPr/>
        <w:t>Basado en la identificación de los principales problemas, se formula un conjunto de programas, políticas, acciones, tareas, incentivos e instrumentos orientados a implementar un programa de URE, para todos los sectores económicos.</w:t>
      </w:r>
    </w:p>
    <w:p>
      <w:pPr>
        <w:pStyle w:val="BodyText"/>
        <w:rPr>
          <w:sz w:val="28"/>
        </w:rPr>
      </w:pPr>
    </w:p>
    <w:p>
      <w:pPr>
        <w:pStyle w:val="Heading2"/>
        <w:numPr>
          <w:ilvl w:val="1"/>
          <w:numId w:val="54"/>
        </w:numPr>
        <w:tabs>
          <w:tab w:pos="1106" w:val="left" w:leader="none"/>
          <w:tab w:pos="1107" w:val="left" w:leader="none"/>
          <w:tab w:pos="3954" w:val="left" w:leader="none"/>
        </w:tabs>
        <w:spacing w:line="240" w:lineRule="auto" w:before="219" w:after="0"/>
        <w:ind w:left="1319" w:right="1062" w:hanging="1080"/>
        <w:jc w:val="left"/>
        <w:rPr>
          <w:sz w:val="25"/>
        </w:rPr>
      </w:pPr>
      <w:r>
        <w:rPr/>
        <w:t>LOS</w:t>
      </w:r>
      <w:r>
        <w:rPr>
          <w:spacing w:val="46"/>
        </w:rPr>
        <w:t> </w:t>
      </w:r>
      <w:r>
        <w:rPr/>
        <w:t>PROGRAMAS</w:t>
        <w:tab/>
        <w:t>DE URE Y LOS AHORROS ESTIMADOS POR</w:t>
      </w:r>
      <w:r>
        <w:rPr>
          <w:spacing w:val="-2"/>
        </w:rPr>
        <w:t> </w:t>
      </w:r>
      <w:r>
        <w:rPr/>
        <w:t>SECTORES</w:t>
      </w:r>
      <w:r>
        <w:rPr>
          <w:vertAlign w:val="superscript"/>
        </w:rPr>
        <w:t>23</w:t>
      </w:r>
    </w:p>
    <w:p>
      <w:pPr>
        <w:pStyle w:val="BodyText"/>
        <w:spacing w:before="277"/>
        <w:ind w:left="239" w:right="1056" w:hanging="1"/>
        <w:jc w:val="both"/>
      </w:pPr>
      <w:r>
        <w:rPr/>
        <w:t>A continuación se resumen, por sector y usos finales, los programas y los potenciales de ahorro estimados.</w:t>
      </w:r>
    </w:p>
    <w:p>
      <w:pPr>
        <w:pStyle w:val="BodyText"/>
        <w:spacing w:before="7"/>
        <w:rPr>
          <w:sz w:val="24"/>
        </w:rPr>
      </w:pPr>
    </w:p>
    <w:p>
      <w:pPr>
        <w:pStyle w:val="Heading3"/>
        <w:rPr>
          <w:i/>
        </w:rPr>
      </w:pPr>
      <w:bookmarkStart w:name="_TOC_250046" w:id="53"/>
      <w:bookmarkEnd w:id="53"/>
      <w:r>
        <w:rPr>
          <w:i/>
          <w:w w:val="110"/>
        </w:rPr>
        <w:t>Sector Residencial</w:t>
      </w:r>
    </w:p>
    <w:p>
      <w:pPr>
        <w:pStyle w:val="ListParagraph"/>
        <w:numPr>
          <w:ilvl w:val="0"/>
          <w:numId w:val="55"/>
        </w:numPr>
        <w:tabs>
          <w:tab w:pos="600" w:val="left" w:leader="none"/>
        </w:tabs>
        <w:spacing w:line="240" w:lineRule="auto" w:before="267" w:after="0"/>
        <w:ind w:left="600" w:right="1055" w:hanging="360"/>
        <w:jc w:val="both"/>
        <w:rPr>
          <w:sz w:val="23"/>
        </w:rPr>
      </w:pPr>
      <w:r>
        <w:rPr>
          <w:i/>
          <w:sz w:val="24"/>
        </w:rPr>
        <w:t>Iluminación. Ca</w:t>
      </w:r>
      <w:r>
        <w:rPr>
          <w:sz w:val="23"/>
        </w:rPr>
        <w:t>mbiar dos lámparas incandescentes a compactas fluorescentes en cada uno de los más de dos millones de hogares dominicanos puede resultar en ahorros anuales de energía eléctrica por más de 130 GWh y de 85,669 Toneladas de CO</w:t>
      </w:r>
      <w:r>
        <w:rPr>
          <w:sz w:val="23"/>
          <w:vertAlign w:val="subscript"/>
        </w:rPr>
        <w:t>2</w:t>
      </w:r>
      <w:r>
        <w:rPr>
          <w:sz w:val="23"/>
          <w:vertAlign w:val="baseline"/>
        </w:rPr>
        <w:t> por año.</w:t>
      </w:r>
    </w:p>
    <w:p>
      <w:pPr>
        <w:pStyle w:val="ListParagraph"/>
        <w:numPr>
          <w:ilvl w:val="0"/>
          <w:numId w:val="55"/>
        </w:numPr>
        <w:tabs>
          <w:tab w:pos="600" w:val="left" w:leader="none"/>
        </w:tabs>
        <w:spacing w:line="240" w:lineRule="auto" w:before="108" w:after="0"/>
        <w:ind w:left="599" w:right="1055" w:hanging="360"/>
        <w:jc w:val="both"/>
        <w:rPr>
          <w:sz w:val="23"/>
        </w:rPr>
      </w:pPr>
      <w:r>
        <w:rPr>
          <w:i/>
          <w:sz w:val="24"/>
        </w:rPr>
        <w:t>Aire acondicionado. </w:t>
      </w:r>
      <w:r>
        <w:rPr>
          <w:sz w:val="23"/>
        </w:rPr>
        <w:t>Se puede considerar que en el sector residencial se tiene un potencial que puede llegar al 50% del consumo actual. Sin embargo, una estimación conservadora y realista sería ubicar el potencial de ahorro de energía en el 20% del consumo por aire acondicionado, es decir, en cerca de 500 GWh por año y de más de 320,000 Toneladas de CO</w:t>
      </w:r>
      <w:r>
        <w:rPr>
          <w:sz w:val="23"/>
          <w:vertAlign w:val="subscript"/>
        </w:rPr>
        <w:t>2</w:t>
      </w:r>
      <w:r>
        <w:rPr>
          <w:sz w:val="23"/>
          <w:vertAlign w:val="baseline"/>
        </w:rPr>
        <w:t> evitadas al</w:t>
      </w:r>
      <w:r>
        <w:rPr>
          <w:spacing w:val="-4"/>
          <w:sz w:val="23"/>
          <w:vertAlign w:val="baseline"/>
        </w:rPr>
        <w:t> </w:t>
      </w:r>
      <w:r>
        <w:rPr>
          <w:sz w:val="23"/>
          <w:vertAlign w:val="baseline"/>
        </w:rPr>
        <w:t>año.</w:t>
      </w:r>
    </w:p>
    <w:p>
      <w:pPr>
        <w:pStyle w:val="ListParagraph"/>
        <w:numPr>
          <w:ilvl w:val="0"/>
          <w:numId w:val="55"/>
        </w:numPr>
        <w:tabs>
          <w:tab w:pos="600" w:val="left" w:leader="none"/>
        </w:tabs>
        <w:spacing w:line="235" w:lineRule="auto" w:before="113" w:after="0"/>
        <w:ind w:left="600" w:right="1054" w:hanging="360"/>
        <w:jc w:val="both"/>
        <w:rPr>
          <w:sz w:val="23"/>
        </w:rPr>
      </w:pPr>
      <w:r>
        <w:rPr>
          <w:i/>
          <w:sz w:val="24"/>
        </w:rPr>
        <w:t>Conservación de alimentos. </w:t>
      </w:r>
      <w:r>
        <w:rPr>
          <w:sz w:val="23"/>
        </w:rPr>
        <w:t>Se considera la sustitución de 300 mil refrigeradores de 15 ft3 con diez años de antigüedad por uno nuevo del mismo tamaño, con un ahorro</w:t>
      </w:r>
      <w:r>
        <w:rPr>
          <w:spacing w:val="40"/>
          <w:sz w:val="23"/>
        </w:rPr>
        <w:t> </w:t>
      </w:r>
      <w:r>
        <w:rPr>
          <w:sz w:val="23"/>
        </w:rPr>
        <w:t>anual</w:t>
      </w:r>
    </w:p>
    <w:p>
      <w:pPr>
        <w:pStyle w:val="BodyText"/>
        <w:rPr>
          <w:sz w:val="20"/>
        </w:rPr>
      </w:pPr>
    </w:p>
    <w:p>
      <w:pPr>
        <w:pStyle w:val="BodyText"/>
        <w:spacing w:before="11"/>
        <w:rPr>
          <w:sz w:val="21"/>
        </w:rPr>
      </w:pPr>
      <w:r>
        <w:rPr/>
        <w:pict>
          <v:rect style="position:absolute;margin-left:72pt;margin-top:15.202213pt;width:143.999997pt;height:.72pt;mso-position-horizontal-relative:page;mso-position-vertical-relative:paragraph;z-index:-15674880;mso-wrap-distance-left:0;mso-wrap-distance-right:0" filled="true" fillcolor="#000000" stroked="false">
            <v:fill type="solid"/>
            <w10:wrap type="topAndBottom"/>
          </v:rect>
        </w:pict>
      </w:r>
    </w:p>
    <w:p>
      <w:pPr>
        <w:spacing w:before="91"/>
        <w:ind w:left="239" w:right="1058" w:firstLine="0"/>
        <w:jc w:val="both"/>
        <w:rPr>
          <w:rFonts w:ascii="Verdana" w:hAnsi="Verdana"/>
          <w:sz w:val="20"/>
        </w:rPr>
      </w:pPr>
      <w:r>
        <w:rPr>
          <w:rFonts w:ascii="Verdana" w:hAnsi="Verdana"/>
          <w:sz w:val="20"/>
          <w:vertAlign w:val="superscript"/>
        </w:rPr>
        <w:t>23</w:t>
      </w:r>
      <w:r>
        <w:rPr>
          <w:rFonts w:ascii="Verdana" w:hAnsi="Verdana"/>
          <w:sz w:val="20"/>
          <w:vertAlign w:val="baseline"/>
        </w:rPr>
        <w:t>La información, análisis y lineamientos estratégicos están sustentados en el documento: </w:t>
      </w:r>
      <w:r>
        <w:rPr>
          <w:rFonts w:ascii="Verdana" w:hAnsi="Verdana"/>
          <w:b/>
          <w:sz w:val="20"/>
          <w:vertAlign w:val="baseline"/>
        </w:rPr>
        <w:t>DIAGNÓSTICO Y DEFINICIÓN DE LÍNEAS ESTRATÉGICAS SOBRE EL USO RACIONAL DE ENERGÍA (URE) EN REPÚBLICA DOMINICANA</w:t>
      </w:r>
      <w:r>
        <w:rPr>
          <w:rFonts w:ascii="Verdana" w:hAnsi="Verdana"/>
          <w:sz w:val="20"/>
          <w:vertAlign w:val="baseline"/>
        </w:rPr>
        <w:t>, Odón de Buen R., Enero de 2008.</w:t>
      </w:r>
    </w:p>
    <w:p>
      <w:pPr>
        <w:spacing w:line="241" w:lineRule="exact" w:before="0"/>
        <w:ind w:left="239" w:right="0" w:firstLine="0"/>
        <w:jc w:val="both"/>
        <w:rPr>
          <w:rFonts w:ascii="Verdana"/>
          <w:sz w:val="20"/>
        </w:rPr>
      </w:pPr>
      <w:r>
        <w:rPr>
          <w:rFonts w:ascii="Verdana"/>
          <w:sz w:val="20"/>
        </w:rPr>
        <w:t>Este documento se incluye como anexo.</w:t>
      </w:r>
    </w:p>
    <w:p>
      <w:pPr>
        <w:spacing w:after="0" w:line="241" w:lineRule="exact"/>
        <w:jc w:val="both"/>
        <w:rPr>
          <w:rFonts w:ascii="Verdana"/>
          <w:sz w:val="20"/>
        </w:rPr>
        <w:sectPr>
          <w:pgSz w:w="12240" w:h="15840"/>
          <w:pgMar w:header="718" w:footer="954" w:top="1360" w:bottom="1140" w:left="1200" w:right="380"/>
        </w:sectPr>
      </w:pPr>
    </w:p>
    <w:p>
      <w:pPr>
        <w:pStyle w:val="BodyText"/>
        <w:spacing w:before="3"/>
        <w:rPr>
          <w:rFonts w:ascii="Verdana"/>
          <w:sz w:val="11"/>
        </w:rPr>
      </w:pPr>
    </w:p>
    <w:p>
      <w:pPr>
        <w:pStyle w:val="BodyText"/>
        <w:spacing w:before="101"/>
        <w:ind w:left="599" w:right="1058"/>
        <w:jc w:val="both"/>
      </w:pPr>
      <w:r>
        <w:rPr/>
        <w:t>de 600 kWh por refrigerador, se lograría un ahorro de 180 GWh y 118,619 Toneladas de CO</w:t>
      </w:r>
      <w:r>
        <w:rPr>
          <w:vertAlign w:val="subscript"/>
        </w:rPr>
        <w:t>2</w:t>
      </w:r>
      <w:r>
        <w:rPr>
          <w:vertAlign w:val="baseline"/>
        </w:rPr>
        <w:t> por año.</w:t>
      </w:r>
    </w:p>
    <w:p>
      <w:pPr>
        <w:pStyle w:val="ListParagraph"/>
        <w:numPr>
          <w:ilvl w:val="0"/>
          <w:numId w:val="55"/>
        </w:numPr>
        <w:tabs>
          <w:tab w:pos="600" w:val="left" w:leader="none"/>
        </w:tabs>
        <w:spacing w:line="240" w:lineRule="auto" w:before="114" w:after="0"/>
        <w:ind w:left="600" w:right="1054" w:hanging="360"/>
        <w:jc w:val="both"/>
        <w:rPr>
          <w:sz w:val="23"/>
        </w:rPr>
      </w:pPr>
      <w:r>
        <w:rPr>
          <w:i/>
          <w:sz w:val="24"/>
        </w:rPr>
        <w:t>Calentamiento solar de agua. </w:t>
      </w:r>
      <w:r>
        <w:rPr>
          <w:sz w:val="23"/>
        </w:rPr>
        <w:t>Se considera como potencial de mercado a los hogares que están en los niveles más altos de ingresos, los cuales representan cerca de 190 mil hogares. Este consumo representa 5.5 KTep por año (13.3% del total de energía para calentamiento de agua del sector residencial) y puede ser sustituido con cerca de 70,000 m</w:t>
      </w:r>
      <w:r>
        <w:rPr>
          <w:sz w:val="23"/>
          <w:vertAlign w:val="superscript"/>
        </w:rPr>
        <w:t>2</w:t>
      </w:r>
      <w:r>
        <w:rPr>
          <w:sz w:val="23"/>
          <w:vertAlign w:val="baseline"/>
        </w:rPr>
        <w:t> de calentadores solares. Lo que significaría dejar de emitir 45,931 Toneladas de CO</w:t>
      </w:r>
      <w:r>
        <w:rPr>
          <w:sz w:val="23"/>
          <w:vertAlign w:val="subscript"/>
        </w:rPr>
        <w:t>2</w:t>
      </w:r>
      <w:r>
        <w:rPr>
          <w:sz w:val="23"/>
          <w:vertAlign w:val="baseline"/>
        </w:rPr>
        <w:t> al</w:t>
      </w:r>
      <w:r>
        <w:rPr>
          <w:spacing w:val="-1"/>
          <w:sz w:val="23"/>
          <w:vertAlign w:val="baseline"/>
        </w:rPr>
        <w:t> </w:t>
      </w:r>
      <w:r>
        <w:rPr>
          <w:sz w:val="23"/>
          <w:vertAlign w:val="baseline"/>
        </w:rPr>
        <w:t>año.</w:t>
      </w:r>
    </w:p>
    <w:p>
      <w:pPr>
        <w:pStyle w:val="ListParagraph"/>
        <w:numPr>
          <w:ilvl w:val="0"/>
          <w:numId w:val="55"/>
        </w:numPr>
        <w:tabs>
          <w:tab w:pos="600" w:val="left" w:leader="none"/>
        </w:tabs>
        <w:spacing w:line="240" w:lineRule="auto" w:before="107" w:after="0"/>
        <w:ind w:left="600" w:right="1054" w:hanging="361"/>
        <w:jc w:val="both"/>
        <w:rPr>
          <w:sz w:val="23"/>
        </w:rPr>
      </w:pPr>
      <w:r>
        <w:rPr>
          <w:i/>
          <w:sz w:val="24"/>
        </w:rPr>
        <w:t>Sustitución de la leña por GLP. </w:t>
      </w:r>
      <w:r>
        <w:rPr>
          <w:sz w:val="23"/>
        </w:rPr>
        <w:t>Suponiendo que para todas las 770,000 viviendas que utilizan leña para cocción sustituyeran este energético por GLP, su consumo en términos energéticos se reduciría a una cuarta parte pero el consumo de GLP aumentaría. De manera acumulada, esto representaría una reducción del consumo energético de leña en el equivalente a 386 KTep por año. De la misma manera, esta sustitución representaría un aumento de 105 KTep por año en el consumo de GLP. Y significaría una disminución en emisiones de CO</w:t>
      </w:r>
      <w:r>
        <w:rPr>
          <w:sz w:val="23"/>
          <w:vertAlign w:val="subscript"/>
        </w:rPr>
        <w:t>2</w:t>
      </w:r>
      <w:r>
        <w:rPr>
          <w:sz w:val="23"/>
          <w:vertAlign w:val="baseline"/>
        </w:rPr>
        <w:t> de más de 1.200,000 Toneladas de CO</w:t>
      </w:r>
      <w:r>
        <w:rPr>
          <w:sz w:val="23"/>
          <w:vertAlign w:val="subscript"/>
        </w:rPr>
        <w:t>2</w:t>
      </w:r>
      <w:r>
        <w:rPr>
          <w:sz w:val="23"/>
          <w:vertAlign w:val="baseline"/>
        </w:rPr>
        <w:t> por</w:t>
      </w:r>
      <w:r>
        <w:rPr>
          <w:spacing w:val="-48"/>
          <w:sz w:val="23"/>
          <w:vertAlign w:val="baseline"/>
        </w:rPr>
        <w:t> </w:t>
      </w:r>
      <w:r>
        <w:rPr>
          <w:sz w:val="23"/>
          <w:vertAlign w:val="baseline"/>
        </w:rPr>
        <w:t>año.</w:t>
      </w:r>
    </w:p>
    <w:p>
      <w:pPr>
        <w:pStyle w:val="BodyText"/>
        <w:spacing w:before="2"/>
      </w:pPr>
    </w:p>
    <w:p>
      <w:pPr>
        <w:pStyle w:val="Heading3"/>
        <w:rPr>
          <w:i/>
        </w:rPr>
      </w:pPr>
      <w:bookmarkStart w:name="_TOC_250045" w:id="54"/>
      <w:bookmarkEnd w:id="54"/>
      <w:r>
        <w:rPr>
          <w:i/>
          <w:w w:val="110"/>
        </w:rPr>
        <w:t>Sector hoteles, restaurantes, comercios, servicios y público</w:t>
      </w:r>
    </w:p>
    <w:p>
      <w:pPr>
        <w:pStyle w:val="BodyText"/>
        <w:spacing w:before="8"/>
        <w:rPr>
          <w:rFonts w:ascii="Times New Roman"/>
          <w:b/>
          <w:i/>
        </w:rPr>
      </w:pPr>
    </w:p>
    <w:p>
      <w:pPr>
        <w:pStyle w:val="ListParagraph"/>
        <w:numPr>
          <w:ilvl w:val="0"/>
          <w:numId w:val="55"/>
        </w:numPr>
        <w:tabs>
          <w:tab w:pos="600" w:val="left" w:leader="none"/>
        </w:tabs>
        <w:spacing w:line="237" w:lineRule="auto" w:before="0" w:after="0"/>
        <w:ind w:left="600" w:right="1055" w:hanging="360"/>
        <w:jc w:val="both"/>
        <w:rPr>
          <w:sz w:val="23"/>
        </w:rPr>
      </w:pPr>
      <w:r>
        <w:rPr>
          <w:i/>
          <w:sz w:val="24"/>
        </w:rPr>
        <w:t>Iluminación. </w:t>
      </w:r>
      <w:r>
        <w:rPr>
          <w:sz w:val="23"/>
        </w:rPr>
        <w:t>El recambio completo de la tecnología T12 4x40 W con balastro electromagnético a T8 3x32 W con balastro electrónico y pantalla reflectiva en todos los edificios en RD (suponiendo 180 mil luminarias) representaría un ahorro aproximado de 80 GWh y de 92,000 Toneladas de CO2 por</w:t>
      </w:r>
      <w:r>
        <w:rPr>
          <w:spacing w:val="-2"/>
          <w:sz w:val="23"/>
        </w:rPr>
        <w:t> </w:t>
      </w:r>
      <w:r>
        <w:rPr>
          <w:sz w:val="23"/>
        </w:rPr>
        <w:t>año.</w:t>
      </w:r>
    </w:p>
    <w:p>
      <w:pPr>
        <w:pStyle w:val="ListParagraph"/>
        <w:numPr>
          <w:ilvl w:val="0"/>
          <w:numId w:val="55"/>
        </w:numPr>
        <w:tabs>
          <w:tab w:pos="600" w:val="left" w:leader="none"/>
        </w:tabs>
        <w:spacing w:line="237" w:lineRule="auto" w:before="119" w:after="0"/>
        <w:ind w:left="599" w:right="1056" w:hanging="360"/>
        <w:jc w:val="both"/>
        <w:rPr>
          <w:sz w:val="23"/>
        </w:rPr>
      </w:pPr>
      <w:r>
        <w:rPr>
          <w:i/>
          <w:sz w:val="24"/>
        </w:rPr>
        <w:t>Aire</w:t>
      </w:r>
      <w:r>
        <w:rPr>
          <w:i/>
          <w:spacing w:val="-9"/>
          <w:sz w:val="24"/>
        </w:rPr>
        <w:t> </w:t>
      </w:r>
      <w:r>
        <w:rPr>
          <w:i/>
          <w:sz w:val="24"/>
        </w:rPr>
        <w:t>acondicionado.</w:t>
      </w:r>
      <w:r>
        <w:rPr>
          <w:i/>
          <w:spacing w:val="-10"/>
          <w:sz w:val="24"/>
        </w:rPr>
        <w:t> </w:t>
      </w:r>
      <w:r>
        <w:rPr>
          <w:sz w:val="23"/>
        </w:rPr>
        <w:t>De</w:t>
      </w:r>
      <w:r>
        <w:rPr>
          <w:spacing w:val="-9"/>
          <w:sz w:val="23"/>
        </w:rPr>
        <w:t> </w:t>
      </w:r>
      <w:r>
        <w:rPr>
          <w:sz w:val="23"/>
        </w:rPr>
        <w:t>acuerdo</w:t>
      </w:r>
      <w:r>
        <w:rPr>
          <w:spacing w:val="-6"/>
          <w:sz w:val="23"/>
        </w:rPr>
        <w:t> </w:t>
      </w:r>
      <w:r>
        <w:rPr>
          <w:sz w:val="23"/>
        </w:rPr>
        <w:t>al</w:t>
      </w:r>
      <w:r>
        <w:rPr>
          <w:spacing w:val="-8"/>
          <w:sz w:val="23"/>
        </w:rPr>
        <w:t> </w:t>
      </w:r>
      <w:r>
        <w:rPr>
          <w:sz w:val="23"/>
        </w:rPr>
        <w:t>estudio</w:t>
      </w:r>
      <w:r>
        <w:rPr>
          <w:spacing w:val="-8"/>
          <w:sz w:val="23"/>
        </w:rPr>
        <w:t> </w:t>
      </w:r>
      <w:r>
        <w:rPr>
          <w:sz w:val="23"/>
        </w:rPr>
        <w:t>de</w:t>
      </w:r>
      <w:r>
        <w:rPr>
          <w:spacing w:val="-7"/>
          <w:sz w:val="23"/>
        </w:rPr>
        <w:t> </w:t>
      </w:r>
      <w:r>
        <w:rPr>
          <w:sz w:val="23"/>
        </w:rPr>
        <w:t>NRECA,</w:t>
      </w:r>
      <w:r>
        <w:rPr>
          <w:spacing w:val="-6"/>
          <w:sz w:val="23"/>
        </w:rPr>
        <w:t> </w:t>
      </w:r>
      <w:r>
        <w:rPr>
          <w:sz w:val="23"/>
        </w:rPr>
        <w:t>se</w:t>
      </w:r>
      <w:r>
        <w:rPr>
          <w:spacing w:val="-5"/>
          <w:sz w:val="23"/>
        </w:rPr>
        <w:t> </w:t>
      </w:r>
      <w:r>
        <w:rPr>
          <w:sz w:val="23"/>
        </w:rPr>
        <w:t>tiene</w:t>
      </w:r>
      <w:r>
        <w:rPr>
          <w:spacing w:val="-7"/>
          <w:sz w:val="23"/>
        </w:rPr>
        <w:t> </w:t>
      </w:r>
      <w:r>
        <w:rPr>
          <w:sz w:val="23"/>
        </w:rPr>
        <w:t>un</w:t>
      </w:r>
      <w:r>
        <w:rPr>
          <w:spacing w:val="-5"/>
          <w:sz w:val="23"/>
        </w:rPr>
        <w:t> </w:t>
      </w:r>
      <w:r>
        <w:rPr>
          <w:sz w:val="23"/>
        </w:rPr>
        <w:t>potencial</w:t>
      </w:r>
      <w:r>
        <w:rPr>
          <w:spacing w:val="-5"/>
          <w:sz w:val="23"/>
        </w:rPr>
        <w:t> </w:t>
      </w:r>
      <w:r>
        <w:rPr>
          <w:sz w:val="23"/>
        </w:rPr>
        <w:t>de</w:t>
      </w:r>
      <w:r>
        <w:rPr>
          <w:spacing w:val="-7"/>
          <w:sz w:val="23"/>
        </w:rPr>
        <w:t> </w:t>
      </w:r>
      <w:r>
        <w:rPr>
          <w:sz w:val="23"/>
        </w:rPr>
        <w:t>ahorro</w:t>
      </w:r>
      <w:r>
        <w:rPr>
          <w:spacing w:val="-6"/>
          <w:sz w:val="23"/>
        </w:rPr>
        <w:t> </w:t>
      </w:r>
      <w:r>
        <w:rPr>
          <w:sz w:val="23"/>
        </w:rPr>
        <w:t>de energía de 6.8% en sistemas de aire acondicionado. Extrapolado al consumo total de este sector el potencial es de cerca de 90 GWh y de 59,000 Toneladas de CO</w:t>
      </w:r>
      <w:r>
        <w:rPr>
          <w:sz w:val="23"/>
          <w:vertAlign w:val="subscript"/>
        </w:rPr>
        <w:t>2</w:t>
      </w:r>
      <w:r>
        <w:rPr>
          <w:sz w:val="23"/>
          <w:vertAlign w:val="baseline"/>
        </w:rPr>
        <w:t> al</w:t>
      </w:r>
      <w:r>
        <w:rPr>
          <w:spacing w:val="-19"/>
          <w:sz w:val="23"/>
          <w:vertAlign w:val="baseline"/>
        </w:rPr>
        <w:t> </w:t>
      </w:r>
      <w:r>
        <w:rPr>
          <w:sz w:val="23"/>
          <w:vertAlign w:val="baseline"/>
        </w:rPr>
        <w:t>año.</w:t>
      </w:r>
    </w:p>
    <w:p>
      <w:pPr>
        <w:pStyle w:val="ListParagraph"/>
        <w:numPr>
          <w:ilvl w:val="0"/>
          <w:numId w:val="55"/>
        </w:numPr>
        <w:tabs>
          <w:tab w:pos="600" w:val="left" w:leader="none"/>
        </w:tabs>
        <w:spacing w:line="240" w:lineRule="auto" w:before="113" w:after="0"/>
        <w:ind w:left="600" w:right="1055" w:hanging="360"/>
        <w:jc w:val="both"/>
        <w:rPr>
          <w:sz w:val="23"/>
        </w:rPr>
      </w:pPr>
      <w:r>
        <w:rPr>
          <w:i/>
          <w:sz w:val="24"/>
        </w:rPr>
        <w:t>Calentamiento solar de agua. </w:t>
      </w:r>
      <w:r>
        <w:rPr>
          <w:sz w:val="23"/>
        </w:rPr>
        <w:t>Sólo el 69% del consumo de energía para calentamiento de agua del sector comercios, servicios y público es rentable sustituir con energía solar, lo cual da un valor de 19.1 KTep por año, lo cual equivale a un potencial total de 270 mil metros cuadrados. En términos ambientales significaría evitar 59,233 Toneladas de CO</w:t>
      </w:r>
      <w:r>
        <w:rPr>
          <w:sz w:val="23"/>
          <w:vertAlign w:val="subscript"/>
        </w:rPr>
        <w:t>2</w:t>
      </w:r>
      <w:r>
        <w:rPr>
          <w:sz w:val="23"/>
          <w:vertAlign w:val="baseline"/>
        </w:rPr>
        <w:t> por</w:t>
      </w:r>
      <w:r>
        <w:rPr>
          <w:spacing w:val="-1"/>
          <w:sz w:val="23"/>
          <w:vertAlign w:val="baseline"/>
        </w:rPr>
        <w:t> </w:t>
      </w:r>
      <w:r>
        <w:rPr>
          <w:sz w:val="23"/>
          <w:vertAlign w:val="baseline"/>
        </w:rPr>
        <w:t>año.</w:t>
      </w:r>
    </w:p>
    <w:p>
      <w:pPr>
        <w:pStyle w:val="BodyText"/>
        <w:spacing w:before="3"/>
      </w:pPr>
    </w:p>
    <w:p>
      <w:pPr>
        <w:pStyle w:val="Heading3"/>
        <w:spacing w:before="1"/>
        <w:rPr>
          <w:i/>
        </w:rPr>
      </w:pPr>
      <w:bookmarkStart w:name="_TOC_250044" w:id="55"/>
      <w:bookmarkEnd w:id="55"/>
      <w:r>
        <w:rPr>
          <w:i/>
          <w:w w:val="110"/>
        </w:rPr>
        <w:t>Sector industrial</w:t>
      </w:r>
    </w:p>
    <w:p>
      <w:pPr>
        <w:pStyle w:val="ListParagraph"/>
        <w:numPr>
          <w:ilvl w:val="0"/>
          <w:numId w:val="55"/>
        </w:numPr>
        <w:tabs>
          <w:tab w:pos="600" w:val="left" w:leader="none"/>
        </w:tabs>
        <w:spacing w:line="240" w:lineRule="auto" w:before="270" w:after="0"/>
        <w:ind w:left="599" w:right="1055" w:hanging="360"/>
        <w:jc w:val="both"/>
        <w:rPr>
          <w:sz w:val="23"/>
        </w:rPr>
      </w:pPr>
      <w:r>
        <w:rPr>
          <w:i/>
          <w:sz w:val="24"/>
        </w:rPr>
        <w:t>Autoabastecimiento actual con cogeneración. </w:t>
      </w:r>
      <w:r>
        <w:rPr>
          <w:sz w:val="23"/>
        </w:rPr>
        <w:t>Eliminando al sector de químicos y plásticos (que ya cogenera) se considera que la mejora de eficiencia en el uso de energía primaria por la cogeneración de un 30% a un 70%. Como resultado, se lograría un ahorro cercano a los 220 kTep por año, lo que representaría cerca del 22% de su consumo total actual. Esto en emisiones de CO</w:t>
      </w:r>
      <w:r>
        <w:rPr>
          <w:sz w:val="23"/>
          <w:vertAlign w:val="subscript"/>
        </w:rPr>
        <w:t>2</w:t>
      </w:r>
      <w:r>
        <w:rPr>
          <w:sz w:val="23"/>
          <w:vertAlign w:val="baseline"/>
        </w:rPr>
        <w:t> representa dejar de emitir 1,685,799 Toneladas de CO</w:t>
      </w:r>
      <w:r>
        <w:rPr>
          <w:sz w:val="23"/>
          <w:vertAlign w:val="subscript"/>
        </w:rPr>
        <w:t>2</w:t>
      </w:r>
      <w:r>
        <w:rPr>
          <w:sz w:val="23"/>
          <w:vertAlign w:val="baseline"/>
        </w:rPr>
        <w:t> por</w:t>
      </w:r>
      <w:r>
        <w:rPr>
          <w:spacing w:val="-2"/>
          <w:sz w:val="23"/>
          <w:vertAlign w:val="baseline"/>
        </w:rPr>
        <w:t> </w:t>
      </w:r>
      <w:r>
        <w:rPr>
          <w:sz w:val="23"/>
          <w:vertAlign w:val="baseline"/>
        </w:rPr>
        <w:t>año.</w:t>
      </w:r>
    </w:p>
    <w:p>
      <w:pPr>
        <w:pStyle w:val="ListParagraph"/>
        <w:numPr>
          <w:ilvl w:val="0"/>
          <w:numId w:val="55"/>
        </w:numPr>
        <w:tabs>
          <w:tab w:pos="598" w:val="left" w:leader="none"/>
        </w:tabs>
        <w:spacing w:line="240" w:lineRule="auto" w:before="107" w:after="0"/>
        <w:ind w:left="597" w:right="1053" w:hanging="358"/>
        <w:jc w:val="both"/>
        <w:rPr>
          <w:sz w:val="23"/>
        </w:rPr>
      </w:pPr>
      <w:r>
        <w:rPr>
          <w:i/>
          <w:sz w:val="24"/>
        </w:rPr>
        <w:t>Motores Eléctricos. </w:t>
      </w:r>
      <w:r>
        <w:rPr>
          <w:sz w:val="23"/>
        </w:rPr>
        <w:t>De acuerdo a varios estudios en sectores industriales y</w:t>
      </w:r>
      <w:r>
        <w:rPr>
          <w:spacing w:val="-50"/>
          <w:sz w:val="23"/>
        </w:rPr>
        <w:t> </w:t>
      </w:r>
      <w:r>
        <w:rPr>
          <w:sz w:val="23"/>
        </w:rPr>
        <w:t>extrapolando al sector industrial de República Dominicana, se tiene un potencial de ahorro de energía de un poco más de 211 GWh (18 kTep) y 139 Toneladas de CO</w:t>
      </w:r>
      <w:r>
        <w:rPr>
          <w:sz w:val="23"/>
          <w:vertAlign w:val="subscript"/>
        </w:rPr>
        <w:t>2</w:t>
      </w:r>
      <w:r>
        <w:rPr>
          <w:sz w:val="23"/>
          <w:vertAlign w:val="baseline"/>
        </w:rPr>
        <w:t> por año, por el re- cambio completo de motores.</w:t>
      </w:r>
    </w:p>
    <w:p>
      <w:pPr>
        <w:spacing w:after="0" w:line="240" w:lineRule="auto"/>
        <w:jc w:val="both"/>
        <w:rPr>
          <w:sz w:val="23"/>
        </w:rPr>
        <w:sectPr>
          <w:pgSz w:w="12240" w:h="15840"/>
          <w:pgMar w:header="718" w:footer="954" w:top="1360" w:bottom="1140" w:left="1200" w:right="380"/>
        </w:sectPr>
      </w:pPr>
    </w:p>
    <w:p>
      <w:pPr>
        <w:pStyle w:val="BodyText"/>
        <w:spacing w:before="8"/>
        <w:rPr>
          <w:sz w:val="11"/>
        </w:rPr>
      </w:pPr>
    </w:p>
    <w:p>
      <w:pPr>
        <w:pStyle w:val="Heading3"/>
        <w:spacing w:before="103"/>
        <w:rPr>
          <w:i/>
        </w:rPr>
      </w:pPr>
      <w:bookmarkStart w:name="_TOC_250043" w:id="56"/>
      <w:bookmarkEnd w:id="56"/>
      <w:r>
        <w:rPr>
          <w:i/>
          <w:w w:val="115"/>
        </w:rPr>
        <w:t>Sector transporte</w:t>
      </w:r>
    </w:p>
    <w:p>
      <w:pPr>
        <w:spacing w:before="269"/>
        <w:ind w:left="240" w:right="0" w:firstLine="0"/>
        <w:jc w:val="both"/>
        <w:rPr>
          <w:sz w:val="22"/>
        </w:rPr>
      </w:pPr>
      <w:r>
        <w:rPr>
          <w:sz w:val="22"/>
        </w:rPr>
        <w:t>Las medidas para el transporte se describen en la Tabla 4.1.</w:t>
      </w:r>
    </w:p>
    <w:p>
      <w:pPr>
        <w:pStyle w:val="BodyText"/>
        <w:spacing w:before="9"/>
        <w:rPr>
          <w:sz w:val="29"/>
        </w:rPr>
      </w:pPr>
    </w:p>
    <w:p>
      <w:pPr>
        <w:pStyle w:val="Heading9"/>
        <w:ind w:left="4238" w:right="1292" w:hanging="3754"/>
        <w:rPr>
          <w:rFonts w:ascii="Verdana"/>
        </w:rPr>
      </w:pPr>
      <w:r>
        <w:rPr>
          <w:rFonts w:ascii="Verdana"/>
        </w:rPr>
        <w:t>Tabla 4.1 - Medidas consideradas y ahorros estimados para el sector transporte</w:t>
      </w:r>
    </w:p>
    <w:p>
      <w:pPr>
        <w:pStyle w:val="BodyText"/>
        <w:spacing w:before="2"/>
        <w:rPr>
          <w:rFonts w:ascii="Verdana"/>
          <w:b/>
        </w:rPr>
      </w:pPr>
    </w:p>
    <w:tbl>
      <w:tblPr>
        <w:tblW w:w="0" w:type="auto"/>
        <w:jc w:val="left"/>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4"/>
        <w:gridCol w:w="2988"/>
        <w:gridCol w:w="1791"/>
        <w:gridCol w:w="1382"/>
        <w:gridCol w:w="1008"/>
      </w:tblGrid>
      <w:tr>
        <w:trPr>
          <w:trHeight w:val="530" w:hRule="atLeast"/>
        </w:trPr>
        <w:tc>
          <w:tcPr>
            <w:tcW w:w="2164" w:type="dxa"/>
            <w:tcBorders>
              <w:bottom w:val="single" w:sz="12" w:space="0" w:color="000000"/>
              <w:right w:val="single" w:sz="2" w:space="0" w:color="000000"/>
            </w:tcBorders>
            <w:shd w:val="clear" w:color="auto" w:fill="CCCCCC"/>
          </w:tcPr>
          <w:p>
            <w:pPr>
              <w:pStyle w:val="TableParagraph"/>
              <w:spacing w:line="287" w:lineRule="exact"/>
              <w:ind w:left="664"/>
              <w:rPr>
                <w:b/>
                <w:sz w:val="24"/>
              </w:rPr>
            </w:pPr>
            <w:r>
              <w:rPr>
                <w:b/>
                <w:sz w:val="24"/>
              </w:rPr>
              <w:t>Medida</w:t>
            </w:r>
          </w:p>
        </w:tc>
        <w:tc>
          <w:tcPr>
            <w:tcW w:w="2988" w:type="dxa"/>
            <w:tcBorders>
              <w:left w:val="single" w:sz="2" w:space="0" w:color="000000"/>
              <w:bottom w:val="single" w:sz="12" w:space="0" w:color="000000"/>
              <w:right w:val="single" w:sz="12" w:space="0" w:color="000000"/>
            </w:tcBorders>
            <w:shd w:val="clear" w:color="auto" w:fill="CCCCCC"/>
          </w:tcPr>
          <w:p>
            <w:pPr>
              <w:pStyle w:val="TableParagraph"/>
              <w:spacing w:line="287" w:lineRule="exact"/>
              <w:ind w:left="821"/>
              <w:rPr>
                <w:b/>
                <w:sz w:val="24"/>
              </w:rPr>
            </w:pPr>
            <w:r>
              <w:rPr>
                <w:b/>
                <w:sz w:val="24"/>
              </w:rPr>
              <w:t>Descripción</w:t>
            </w:r>
          </w:p>
        </w:tc>
        <w:tc>
          <w:tcPr>
            <w:tcW w:w="1791" w:type="dxa"/>
            <w:tcBorders>
              <w:left w:val="single" w:sz="12" w:space="0" w:color="000000"/>
              <w:bottom w:val="single" w:sz="12" w:space="0" w:color="000000"/>
              <w:right w:val="single" w:sz="12" w:space="0" w:color="000000"/>
            </w:tcBorders>
            <w:shd w:val="clear" w:color="auto" w:fill="CCCCCC"/>
          </w:tcPr>
          <w:p>
            <w:pPr>
              <w:pStyle w:val="TableParagraph"/>
              <w:spacing w:line="287" w:lineRule="exact"/>
              <w:ind w:left="391"/>
              <w:rPr>
                <w:b/>
                <w:sz w:val="24"/>
              </w:rPr>
            </w:pPr>
            <w:r>
              <w:rPr>
                <w:b/>
                <w:sz w:val="24"/>
              </w:rPr>
              <w:t>Impacto</w:t>
            </w:r>
          </w:p>
        </w:tc>
        <w:tc>
          <w:tcPr>
            <w:tcW w:w="1382" w:type="dxa"/>
            <w:tcBorders>
              <w:left w:val="single" w:sz="12" w:space="0" w:color="000000"/>
              <w:bottom w:val="single" w:sz="12" w:space="0" w:color="000000"/>
              <w:right w:val="single" w:sz="12" w:space="0" w:color="000000"/>
            </w:tcBorders>
            <w:shd w:val="clear" w:color="auto" w:fill="CCCCCC"/>
          </w:tcPr>
          <w:p>
            <w:pPr>
              <w:pStyle w:val="TableParagraph"/>
              <w:spacing w:line="287" w:lineRule="exact"/>
              <w:ind w:left="68" w:right="40"/>
              <w:jc w:val="center"/>
              <w:rPr>
                <w:b/>
                <w:sz w:val="24"/>
              </w:rPr>
            </w:pPr>
            <w:r>
              <w:rPr>
                <w:b/>
                <w:sz w:val="24"/>
              </w:rPr>
              <w:t>KTEP/año</w:t>
            </w:r>
          </w:p>
        </w:tc>
        <w:tc>
          <w:tcPr>
            <w:tcW w:w="1008" w:type="dxa"/>
            <w:tcBorders>
              <w:left w:val="single" w:sz="12" w:space="0" w:color="000000"/>
              <w:bottom w:val="single" w:sz="12" w:space="0" w:color="000000"/>
              <w:right w:val="single" w:sz="4" w:space="0" w:color="000000"/>
            </w:tcBorders>
            <w:shd w:val="clear" w:color="auto" w:fill="CCCCCC"/>
          </w:tcPr>
          <w:p>
            <w:pPr>
              <w:pStyle w:val="TableParagraph"/>
              <w:spacing w:line="264" w:lineRule="exact"/>
              <w:ind w:left="103" w:right="100"/>
              <w:jc w:val="center"/>
              <w:rPr>
                <w:b/>
                <w:sz w:val="22"/>
              </w:rPr>
            </w:pPr>
            <w:r>
              <w:rPr>
                <w:b/>
                <w:sz w:val="22"/>
              </w:rPr>
              <w:t>Ton de</w:t>
            </w:r>
          </w:p>
          <w:p>
            <w:pPr>
              <w:pStyle w:val="TableParagraph"/>
              <w:spacing w:line="235" w:lineRule="exact" w:before="12"/>
              <w:ind w:left="103" w:right="100"/>
              <w:jc w:val="center"/>
              <w:rPr>
                <w:b/>
                <w:sz w:val="22"/>
              </w:rPr>
            </w:pPr>
            <w:r>
              <w:rPr>
                <w:b/>
                <w:position w:val="2"/>
                <w:sz w:val="22"/>
              </w:rPr>
              <w:t>CO</w:t>
            </w:r>
            <w:r>
              <w:rPr>
                <w:b/>
                <w:position w:val="2"/>
                <w:sz w:val="22"/>
                <w:vertAlign w:val="subscript"/>
              </w:rPr>
              <w:t>2</w:t>
            </w:r>
          </w:p>
        </w:tc>
      </w:tr>
      <w:tr>
        <w:trPr>
          <w:trHeight w:val="1069" w:hRule="atLeast"/>
        </w:trPr>
        <w:tc>
          <w:tcPr>
            <w:tcW w:w="2164" w:type="dxa"/>
            <w:tcBorders>
              <w:top w:val="single" w:sz="12" w:space="0" w:color="000000"/>
              <w:bottom w:val="single" w:sz="12" w:space="0" w:color="000000"/>
              <w:right w:val="single" w:sz="2" w:space="0" w:color="000000"/>
            </w:tcBorders>
          </w:tcPr>
          <w:p>
            <w:pPr>
              <w:pStyle w:val="TableParagraph"/>
              <w:spacing w:line="242" w:lineRule="auto" w:before="97"/>
              <w:ind w:left="130" w:right="102"/>
              <w:jc w:val="center"/>
              <w:rPr>
                <w:b/>
                <w:sz w:val="18"/>
              </w:rPr>
            </w:pPr>
            <w:r>
              <w:rPr>
                <w:b/>
                <w:sz w:val="18"/>
              </w:rPr>
              <w:t>Mejora en el rendimiento de combustibles de </w:t>
            </w:r>
            <w:r>
              <w:rPr>
                <w:b/>
                <w:w w:val="95"/>
                <w:sz w:val="18"/>
              </w:rPr>
              <w:t>vehículos particulares</w:t>
            </w:r>
          </w:p>
        </w:tc>
        <w:tc>
          <w:tcPr>
            <w:tcW w:w="2988" w:type="dxa"/>
            <w:tcBorders>
              <w:top w:val="single" w:sz="12" w:space="0" w:color="000000"/>
              <w:left w:val="single" w:sz="2" w:space="0" w:color="000000"/>
              <w:bottom w:val="single" w:sz="12" w:space="0" w:color="000000"/>
              <w:right w:val="single" w:sz="12" w:space="0" w:color="000000"/>
            </w:tcBorders>
          </w:tcPr>
          <w:p>
            <w:pPr>
              <w:pStyle w:val="TableParagraph"/>
              <w:spacing w:line="232" w:lineRule="auto" w:before="1"/>
              <w:ind w:left="120" w:right="64"/>
              <w:jc w:val="both"/>
              <w:rPr>
                <w:sz w:val="18"/>
              </w:rPr>
            </w:pPr>
            <w:r>
              <w:rPr>
                <w:spacing w:val="-3"/>
                <w:sz w:val="18"/>
              </w:rPr>
              <w:t>Sustitución </w:t>
            </w:r>
            <w:r>
              <w:rPr>
                <w:sz w:val="18"/>
              </w:rPr>
              <w:t>del 20% </w:t>
            </w:r>
            <w:r>
              <w:rPr>
                <w:spacing w:val="-12"/>
                <w:sz w:val="18"/>
              </w:rPr>
              <w:t>de </w:t>
            </w:r>
            <w:r>
              <w:rPr>
                <w:sz w:val="18"/>
              </w:rPr>
              <w:t>los </w:t>
            </w:r>
            <w:r>
              <w:rPr>
                <w:spacing w:val="-3"/>
                <w:sz w:val="18"/>
              </w:rPr>
              <w:t>vehículos </w:t>
            </w:r>
            <w:r>
              <w:rPr>
                <w:spacing w:val="-5"/>
                <w:sz w:val="18"/>
              </w:rPr>
              <w:t>más </w:t>
            </w:r>
            <w:r>
              <w:rPr>
                <w:spacing w:val="-3"/>
                <w:sz w:val="18"/>
              </w:rPr>
              <w:t>ineficientes </w:t>
            </w:r>
            <w:r>
              <w:rPr>
                <w:sz w:val="18"/>
              </w:rPr>
              <w:t>por </w:t>
            </w:r>
            <w:r>
              <w:rPr>
                <w:spacing w:val="-3"/>
                <w:sz w:val="18"/>
              </w:rPr>
              <w:t>vehículos </w:t>
            </w:r>
            <w:r>
              <w:rPr>
                <w:spacing w:val="-2"/>
                <w:sz w:val="18"/>
              </w:rPr>
              <w:t>con una </w:t>
            </w:r>
            <w:r>
              <w:rPr>
                <w:sz w:val="18"/>
              </w:rPr>
              <w:t>mejora</w:t>
            </w:r>
            <w:r>
              <w:rPr>
                <w:spacing w:val="38"/>
                <w:sz w:val="18"/>
              </w:rPr>
              <w:t> </w:t>
            </w:r>
            <w:r>
              <w:rPr>
                <w:spacing w:val="9"/>
                <w:sz w:val="18"/>
              </w:rPr>
              <w:t>de</w:t>
            </w:r>
          </w:p>
          <w:p>
            <w:pPr>
              <w:pStyle w:val="TableParagraph"/>
              <w:spacing w:line="220" w:lineRule="exact" w:before="5"/>
              <w:ind w:left="120" w:right="64"/>
              <w:jc w:val="both"/>
              <w:rPr>
                <w:sz w:val="18"/>
              </w:rPr>
            </w:pPr>
            <w:r>
              <w:rPr>
                <w:spacing w:val="-8"/>
                <w:sz w:val="18"/>
              </w:rPr>
              <w:t>ren </w:t>
            </w:r>
            <w:r>
              <w:rPr>
                <w:spacing w:val="-12"/>
                <w:sz w:val="18"/>
              </w:rPr>
              <w:t>di </w:t>
            </w:r>
            <w:r>
              <w:rPr>
                <w:spacing w:val="-4"/>
                <w:sz w:val="18"/>
              </w:rPr>
              <w:t>miento </w:t>
            </w:r>
            <w:r>
              <w:rPr>
                <w:sz w:val="18"/>
              </w:rPr>
              <w:t>de </w:t>
            </w:r>
            <w:r>
              <w:rPr>
                <w:spacing w:val="-4"/>
                <w:sz w:val="18"/>
              </w:rPr>
              <w:t>combustible </w:t>
            </w:r>
            <w:r>
              <w:rPr>
                <w:sz w:val="18"/>
              </w:rPr>
              <w:t>de </w:t>
            </w:r>
            <w:r>
              <w:rPr>
                <w:spacing w:val="-7"/>
                <w:sz w:val="18"/>
              </w:rPr>
              <w:t>30%</w:t>
            </w:r>
          </w:p>
        </w:tc>
        <w:tc>
          <w:tcPr>
            <w:tcW w:w="1791" w:type="dxa"/>
            <w:tcBorders>
              <w:top w:val="single" w:sz="12" w:space="0" w:color="000000"/>
              <w:left w:val="single" w:sz="12" w:space="0" w:color="000000"/>
              <w:bottom w:val="single" w:sz="12" w:space="0" w:color="000000"/>
              <w:right w:val="single" w:sz="12" w:space="0" w:color="000000"/>
            </w:tcBorders>
          </w:tcPr>
          <w:p>
            <w:pPr>
              <w:pStyle w:val="TableParagraph"/>
              <w:spacing w:line="235" w:lineRule="auto"/>
              <w:ind w:left="98" w:right="76" w:hanging="1"/>
              <w:jc w:val="both"/>
              <w:rPr>
                <w:sz w:val="18"/>
              </w:rPr>
            </w:pPr>
            <w:r>
              <w:rPr>
                <w:sz w:val="18"/>
              </w:rPr>
              <w:t>Ahorro de </w:t>
            </w:r>
            <w:r>
              <w:rPr>
                <w:b/>
                <w:sz w:val="18"/>
              </w:rPr>
              <w:t>9.4 </w:t>
            </w:r>
            <w:r>
              <w:rPr>
                <w:sz w:val="18"/>
              </w:rPr>
              <w:t>millones de galones de combustible por año</w:t>
            </w:r>
          </w:p>
        </w:tc>
        <w:tc>
          <w:tcPr>
            <w:tcW w:w="1382" w:type="dxa"/>
            <w:tcBorders>
              <w:top w:val="single" w:sz="12" w:space="0" w:color="000000"/>
              <w:left w:val="single" w:sz="12" w:space="0" w:color="000000"/>
              <w:bottom w:val="single" w:sz="12" w:space="0" w:color="000000"/>
              <w:right w:val="single" w:sz="12" w:space="0" w:color="000000"/>
            </w:tcBorders>
          </w:tcPr>
          <w:p>
            <w:pPr>
              <w:pStyle w:val="TableParagraph"/>
              <w:rPr>
                <w:rFonts w:ascii="Verdana"/>
                <w:b/>
                <w:sz w:val="22"/>
              </w:rPr>
            </w:pPr>
          </w:p>
          <w:p>
            <w:pPr>
              <w:pStyle w:val="TableParagraph"/>
              <w:spacing w:before="149"/>
              <w:ind w:left="54" w:right="40"/>
              <w:jc w:val="center"/>
              <w:rPr>
                <w:b/>
                <w:sz w:val="18"/>
              </w:rPr>
            </w:pPr>
            <w:r>
              <w:rPr>
                <w:b/>
                <w:sz w:val="18"/>
              </w:rPr>
              <w:t>26.94</w:t>
            </w:r>
          </w:p>
        </w:tc>
        <w:tc>
          <w:tcPr>
            <w:tcW w:w="1008" w:type="dxa"/>
            <w:tcBorders>
              <w:top w:val="single" w:sz="12" w:space="0" w:color="000000"/>
              <w:left w:val="single" w:sz="12" w:space="0" w:color="000000"/>
              <w:bottom w:val="single" w:sz="12" w:space="0" w:color="000000"/>
              <w:right w:val="single" w:sz="4" w:space="0" w:color="000000"/>
            </w:tcBorders>
          </w:tcPr>
          <w:p>
            <w:pPr>
              <w:pStyle w:val="TableParagraph"/>
              <w:rPr>
                <w:rFonts w:ascii="Verdana"/>
                <w:b/>
                <w:sz w:val="22"/>
              </w:rPr>
            </w:pPr>
          </w:p>
          <w:p>
            <w:pPr>
              <w:pStyle w:val="TableParagraph"/>
              <w:spacing w:before="149"/>
              <w:ind w:right="88"/>
              <w:jc w:val="right"/>
              <w:rPr>
                <w:b/>
                <w:sz w:val="18"/>
              </w:rPr>
            </w:pPr>
            <w:r>
              <w:rPr>
                <w:b/>
                <w:sz w:val="18"/>
              </w:rPr>
              <w:t>59,872</w:t>
            </w:r>
          </w:p>
        </w:tc>
      </w:tr>
      <w:tr>
        <w:trPr>
          <w:trHeight w:val="839" w:hRule="atLeast"/>
        </w:trPr>
        <w:tc>
          <w:tcPr>
            <w:tcW w:w="2164" w:type="dxa"/>
            <w:tcBorders>
              <w:top w:val="single" w:sz="12" w:space="0" w:color="000000"/>
              <w:bottom w:val="single" w:sz="12" w:space="0" w:color="000000"/>
              <w:right w:val="single" w:sz="2" w:space="0" w:color="000000"/>
            </w:tcBorders>
          </w:tcPr>
          <w:p>
            <w:pPr>
              <w:pStyle w:val="TableParagraph"/>
              <w:spacing w:line="230" w:lineRule="auto"/>
              <w:ind w:left="371" w:right="348" w:firstLine="5"/>
              <w:jc w:val="center"/>
              <w:rPr>
                <w:b/>
                <w:sz w:val="18"/>
              </w:rPr>
            </w:pPr>
            <w:r>
              <w:rPr>
                <w:b/>
                <w:spacing w:val="-3"/>
                <w:sz w:val="18"/>
              </w:rPr>
              <w:t>Mejora </w:t>
            </w:r>
            <w:r>
              <w:rPr>
                <w:b/>
                <w:spacing w:val="-5"/>
                <w:sz w:val="18"/>
              </w:rPr>
              <w:t>en </w:t>
            </w:r>
            <w:r>
              <w:rPr>
                <w:b/>
                <w:spacing w:val="-6"/>
                <w:sz w:val="18"/>
              </w:rPr>
              <w:t>el </w:t>
            </w:r>
            <w:r>
              <w:rPr>
                <w:b/>
                <w:sz w:val="18"/>
              </w:rPr>
              <w:t>rendimiento de </w:t>
            </w:r>
            <w:r>
              <w:rPr>
                <w:b/>
                <w:spacing w:val="-3"/>
                <w:sz w:val="18"/>
              </w:rPr>
              <w:t>combustibles </w:t>
            </w:r>
            <w:r>
              <w:rPr>
                <w:b/>
                <w:sz w:val="18"/>
              </w:rPr>
              <w:t>de</w:t>
            </w:r>
          </w:p>
          <w:p>
            <w:pPr>
              <w:pStyle w:val="TableParagraph"/>
              <w:spacing w:line="194" w:lineRule="exact"/>
              <w:ind w:left="127" w:right="102"/>
              <w:jc w:val="center"/>
              <w:rPr>
                <w:b/>
                <w:sz w:val="18"/>
              </w:rPr>
            </w:pPr>
            <w:r>
              <w:rPr>
                <w:b/>
                <w:sz w:val="18"/>
              </w:rPr>
              <w:t>conchos</w:t>
            </w:r>
          </w:p>
        </w:tc>
        <w:tc>
          <w:tcPr>
            <w:tcW w:w="2988" w:type="dxa"/>
            <w:tcBorders>
              <w:top w:val="single" w:sz="12" w:space="0" w:color="000000"/>
              <w:left w:val="single" w:sz="2" w:space="0" w:color="000000"/>
              <w:bottom w:val="single" w:sz="12" w:space="0" w:color="000000"/>
              <w:right w:val="single" w:sz="12" w:space="0" w:color="000000"/>
            </w:tcBorders>
          </w:tcPr>
          <w:p>
            <w:pPr>
              <w:pStyle w:val="TableParagraph"/>
              <w:spacing w:line="230" w:lineRule="auto"/>
              <w:ind w:left="120" w:right="78"/>
              <w:jc w:val="both"/>
              <w:rPr>
                <w:sz w:val="18"/>
              </w:rPr>
            </w:pPr>
            <w:r>
              <w:rPr>
                <w:spacing w:val="-3"/>
                <w:sz w:val="18"/>
              </w:rPr>
              <w:t>Obligación </w:t>
            </w:r>
            <w:r>
              <w:rPr>
                <w:sz w:val="18"/>
              </w:rPr>
              <w:t>de </w:t>
            </w:r>
            <w:r>
              <w:rPr>
                <w:spacing w:val="-3"/>
                <w:sz w:val="18"/>
              </w:rPr>
              <w:t>renovación </w:t>
            </w:r>
            <w:r>
              <w:rPr>
                <w:spacing w:val="-7"/>
                <w:sz w:val="18"/>
              </w:rPr>
              <w:t>del </w:t>
            </w:r>
            <w:r>
              <w:rPr>
                <w:sz w:val="18"/>
              </w:rPr>
              <w:t>parque de </w:t>
            </w:r>
            <w:r>
              <w:rPr>
                <w:spacing w:val="-3"/>
                <w:sz w:val="18"/>
              </w:rPr>
              <w:t>conchos </w:t>
            </w:r>
            <w:r>
              <w:rPr>
                <w:sz w:val="18"/>
              </w:rPr>
              <w:t>por </w:t>
            </w:r>
            <w:r>
              <w:rPr>
                <w:spacing w:val="-3"/>
                <w:sz w:val="18"/>
              </w:rPr>
              <w:t>vehículos </w:t>
            </w:r>
            <w:r>
              <w:rPr>
                <w:spacing w:val="-10"/>
                <w:sz w:val="18"/>
              </w:rPr>
              <w:t>de </w:t>
            </w:r>
            <w:r>
              <w:rPr>
                <w:spacing w:val="-4"/>
                <w:sz w:val="18"/>
              </w:rPr>
              <w:t>modelo </w:t>
            </w:r>
            <w:r>
              <w:rPr>
                <w:spacing w:val="3"/>
                <w:sz w:val="18"/>
              </w:rPr>
              <w:t>más </w:t>
            </w:r>
            <w:r>
              <w:rPr>
                <w:sz w:val="18"/>
              </w:rPr>
              <w:t>reciente (mejora</w:t>
            </w:r>
            <w:r>
              <w:rPr>
                <w:spacing w:val="-15"/>
                <w:sz w:val="18"/>
              </w:rPr>
              <w:t> </w:t>
            </w:r>
            <w:r>
              <w:rPr>
                <w:spacing w:val="-8"/>
                <w:sz w:val="18"/>
              </w:rPr>
              <w:t>en</w:t>
            </w:r>
          </w:p>
          <w:p>
            <w:pPr>
              <w:pStyle w:val="TableParagraph"/>
              <w:spacing w:line="194" w:lineRule="exact"/>
              <w:ind w:left="120"/>
              <w:jc w:val="both"/>
              <w:rPr>
                <w:sz w:val="18"/>
              </w:rPr>
            </w:pPr>
            <w:r>
              <w:rPr>
                <w:sz w:val="18"/>
              </w:rPr>
              <w:t>ren di miento promedio de 100%)</w:t>
            </w:r>
          </w:p>
        </w:tc>
        <w:tc>
          <w:tcPr>
            <w:tcW w:w="1791" w:type="dxa"/>
            <w:tcBorders>
              <w:top w:val="single" w:sz="12" w:space="0" w:color="000000"/>
              <w:left w:val="single" w:sz="12" w:space="0" w:color="000000"/>
              <w:bottom w:val="single" w:sz="12" w:space="0" w:color="000000"/>
              <w:right w:val="single" w:sz="12" w:space="0" w:color="000000"/>
            </w:tcBorders>
          </w:tcPr>
          <w:p>
            <w:pPr>
              <w:pStyle w:val="TableParagraph"/>
              <w:spacing w:line="230" w:lineRule="auto"/>
              <w:ind w:left="98" w:right="76" w:hanging="1"/>
              <w:jc w:val="both"/>
              <w:rPr>
                <w:sz w:val="18"/>
              </w:rPr>
            </w:pPr>
            <w:r>
              <w:rPr>
                <w:sz w:val="18"/>
              </w:rPr>
              <w:t>Ahorro de </w:t>
            </w:r>
            <w:r>
              <w:rPr>
                <w:b/>
                <w:sz w:val="18"/>
              </w:rPr>
              <w:t>17.0 </w:t>
            </w:r>
            <w:r>
              <w:rPr>
                <w:sz w:val="18"/>
              </w:rPr>
              <w:t>millones de galones de combustible por</w:t>
            </w:r>
          </w:p>
          <w:p>
            <w:pPr>
              <w:pStyle w:val="TableParagraph"/>
              <w:spacing w:line="194" w:lineRule="exact"/>
              <w:ind w:left="98"/>
              <w:rPr>
                <w:sz w:val="18"/>
              </w:rPr>
            </w:pPr>
            <w:r>
              <w:rPr>
                <w:sz w:val="18"/>
              </w:rPr>
              <w:t>año</w:t>
            </w:r>
          </w:p>
        </w:tc>
        <w:tc>
          <w:tcPr>
            <w:tcW w:w="1382" w:type="dxa"/>
            <w:tcBorders>
              <w:top w:val="single" w:sz="12" w:space="0" w:color="000000"/>
              <w:left w:val="single" w:sz="12" w:space="0" w:color="000000"/>
              <w:bottom w:val="single" w:sz="12" w:space="0" w:color="000000"/>
              <w:right w:val="single" w:sz="12" w:space="0" w:color="000000"/>
            </w:tcBorders>
          </w:tcPr>
          <w:p>
            <w:pPr>
              <w:pStyle w:val="TableParagraph"/>
              <w:spacing w:before="2"/>
              <w:rPr>
                <w:rFonts w:ascii="Verdana"/>
                <w:b/>
                <w:sz w:val="25"/>
              </w:rPr>
            </w:pPr>
          </w:p>
          <w:p>
            <w:pPr>
              <w:pStyle w:val="TableParagraph"/>
              <w:ind w:left="54" w:right="40"/>
              <w:jc w:val="center"/>
              <w:rPr>
                <w:b/>
                <w:sz w:val="18"/>
              </w:rPr>
            </w:pPr>
            <w:r>
              <w:rPr>
                <w:b/>
                <w:sz w:val="18"/>
              </w:rPr>
              <w:t>48.72</w:t>
            </w:r>
          </w:p>
        </w:tc>
        <w:tc>
          <w:tcPr>
            <w:tcW w:w="1008" w:type="dxa"/>
            <w:tcBorders>
              <w:top w:val="single" w:sz="12" w:space="0" w:color="000000"/>
              <w:left w:val="single" w:sz="12" w:space="0" w:color="000000"/>
              <w:bottom w:val="single" w:sz="12" w:space="0" w:color="000000"/>
              <w:right w:val="single" w:sz="4" w:space="0" w:color="000000"/>
            </w:tcBorders>
          </w:tcPr>
          <w:p>
            <w:pPr>
              <w:pStyle w:val="TableParagraph"/>
              <w:spacing w:before="2"/>
              <w:rPr>
                <w:rFonts w:ascii="Verdana"/>
                <w:b/>
                <w:sz w:val="25"/>
              </w:rPr>
            </w:pPr>
          </w:p>
          <w:p>
            <w:pPr>
              <w:pStyle w:val="TableParagraph"/>
              <w:ind w:right="89"/>
              <w:jc w:val="right"/>
              <w:rPr>
                <w:b/>
                <w:sz w:val="18"/>
              </w:rPr>
            </w:pPr>
            <w:r>
              <w:rPr>
                <w:b/>
                <w:sz w:val="18"/>
              </w:rPr>
              <w:t>67,809</w:t>
            </w:r>
          </w:p>
        </w:tc>
      </w:tr>
      <w:tr>
        <w:trPr>
          <w:trHeight w:val="848" w:hRule="atLeast"/>
        </w:trPr>
        <w:tc>
          <w:tcPr>
            <w:tcW w:w="2164" w:type="dxa"/>
            <w:tcBorders>
              <w:top w:val="single" w:sz="12" w:space="0" w:color="000000"/>
              <w:bottom w:val="single" w:sz="12" w:space="0" w:color="000000"/>
              <w:right w:val="single" w:sz="2" w:space="0" w:color="000000"/>
            </w:tcBorders>
          </w:tcPr>
          <w:p>
            <w:pPr>
              <w:pStyle w:val="TableParagraph"/>
              <w:spacing w:before="8"/>
              <w:rPr>
                <w:rFonts w:ascii="Verdana"/>
                <w:b/>
                <w:sz w:val="18"/>
              </w:rPr>
            </w:pPr>
          </w:p>
          <w:p>
            <w:pPr>
              <w:pStyle w:val="TableParagraph"/>
              <w:spacing w:line="223" w:lineRule="auto"/>
              <w:ind w:left="294" w:firstLine="96"/>
              <w:rPr>
                <w:b/>
                <w:sz w:val="18"/>
              </w:rPr>
            </w:pPr>
            <w:r>
              <w:rPr>
                <w:b/>
                <w:sz w:val="18"/>
              </w:rPr>
              <w:t>Introducción de vehículos híbridos</w:t>
            </w:r>
          </w:p>
        </w:tc>
        <w:tc>
          <w:tcPr>
            <w:tcW w:w="2988" w:type="dxa"/>
            <w:tcBorders>
              <w:top w:val="single" w:sz="12" w:space="0" w:color="000000"/>
              <w:left w:val="single" w:sz="2" w:space="0" w:color="000000"/>
              <w:bottom w:val="single" w:sz="12" w:space="0" w:color="000000"/>
              <w:right w:val="single" w:sz="12" w:space="0" w:color="000000"/>
            </w:tcBorders>
          </w:tcPr>
          <w:p>
            <w:pPr>
              <w:pStyle w:val="TableParagraph"/>
              <w:spacing w:line="232" w:lineRule="auto" w:before="1"/>
              <w:ind w:left="120" w:right="64"/>
              <w:jc w:val="both"/>
              <w:rPr>
                <w:sz w:val="18"/>
              </w:rPr>
            </w:pPr>
            <w:r>
              <w:rPr>
                <w:sz w:val="18"/>
              </w:rPr>
              <w:t>Sustitución del 10% del parqu e actual de automóviles privados por vehículos híbridos</w:t>
            </w:r>
          </w:p>
        </w:tc>
        <w:tc>
          <w:tcPr>
            <w:tcW w:w="1791" w:type="dxa"/>
            <w:tcBorders>
              <w:top w:val="single" w:sz="12" w:space="0" w:color="000000"/>
              <w:left w:val="single" w:sz="12" w:space="0" w:color="000000"/>
              <w:bottom w:val="single" w:sz="12" w:space="0" w:color="000000"/>
              <w:right w:val="single" w:sz="12" w:space="0" w:color="000000"/>
            </w:tcBorders>
          </w:tcPr>
          <w:p>
            <w:pPr>
              <w:pStyle w:val="TableParagraph"/>
              <w:spacing w:line="232" w:lineRule="auto" w:before="1"/>
              <w:ind w:left="98" w:right="76" w:hanging="1"/>
              <w:jc w:val="both"/>
              <w:rPr>
                <w:sz w:val="18"/>
              </w:rPr>
            </w:pPr>
            <w:r>
              <w:rPr>
                <w:sz w:val="18"/>
              </w:rPr>
              <w:t>Ahorro de </w:t>
            </w:r>
            <w:r>
              <w:rPr>
                <w:b/>
                <w:sz w:val="18"/>
              </w:rPr>
              <w:t>12.0 </w:t>
            </w:r>
            <w:r>
              <w:rPr>
                <w:sz w:val="18"/>
              </w:rPr>
              <w:t>millones de galones de combustible por</w:t>
            </w:r>
          </w:p>
          <w:p>
            <w:pPr>
              <w:pStyle w:val="TableParagraph"/>
              <w:spacing w:line="194" w:lineRule="exact" w:before="1"/>
              <w:ind w:left="98"/>
              <w:rPr>
                <w:sz w:val="18"/>
              </w:rPr>
            </w:pPr>
            <w:r>
              <w:rPr>
                <w:sz w:val="18"/>
              </w:rPr>
              <w:t>año</w:t>
            </w:r>
          </w:p>
        </w:tc>
        <w:tc>
          <w:tcPr>
            <w:tcW w:w="1382" w:type="dxa"/>
            <w:tcBorders>
              <w:top w:val="single" w:sz="12" w:space="0" w:color="000000"/>
              <w:left w:val="single" w:sz="12" w:space="0" w:color="000000"/>
              <w:bottom w:val="single" w:sz="12" w:space="0" w:color="000000"/>
              <w:right w:val="single" w:sz="12" w:space="0" w:color="000000"/>
            </w:tcBorders>
          </w:tcPr>
          <w:p>
            <w:pPr>
              <w:pStyle w:val="TableParagraph"/>
              <w:spacing w:before="11"/>
              <w:rPr>
                <w:rFonts w:ascii="Verdana"/>
                <w:b/>
                <w:sz w:val="25"/>
              </w:rPr>
            </w:pPr>
          </w:p>
          <w:p>
            <w:pPr>
              <w:pStyle w:val="TableParagraph"/>
              <w:ind w:left="54" w:right="40"/>
              <w:jc w:val="center"/>
              <w:rPr>
                <w:b/>
                <w:sz w:val="18"/>
              </w:rPr>
            </w:pPr>
            <w:r>
              <w:rPr>
                <w:b/>
                <w:sz w:val="18"/>
              </w:rPr>
              <w:t>34.4</w:t>
            </w:r>
          </w:p>
        </w:tc>
        <w:tc>
          <w:tcPr>
            <w:tcW w:w="1008" w:type="dxa"/>
            <w:tcBorders>
              <w:top w:val="single" w:sz="12" w:space="0" w:color="000000"/>
              <w:left w:val="single" w:sz="12" w:space="0" w:color="000000"/>
              <w:bottom w:val="single" w:sz="12" w:space="0" w:color="000000"/>
              <w:right w:val="single" w:sz="4" w:space="0" w:color="000000"/>
            </w:tcBorders>
          </w:tcPr>
          <w:p>
            <w:pPr>
              <w:pStyle w:val="TableParagraph"/>
              <w:rPr>
                <w:rFonts w:ascii="Verdana"/>
                <w:b/>
                <w:sz w:val="22"/>
              </w:rPr>
            </w:pPr>
          </w:p>
          <w:p>
            <w:pPr>
              <w:pStyle w:val="TableParagraph"/>
              <w:spacing w:before="149"/>
              <w:ind w:right="89"/>
              <w:jc w:val="right"/>
              <w:rPr>
                <w:b/>
                <w:sz w:val="18"/>
              </w:rPr>
            </w:pPr>
            <w:r>
              <w:rPr>
                <w:b/>
                <w:sz w:val="18"/>
              </w:rPr>
              <w:t>94,230</w:t>
            </w:r>
          </w:p>
        </w:tc>
      </w:tr>
      <w:tr>
        <w:trPr>
          <w:trHeight w:val="849" w:hRule="atLeast"/>
        </w:trPr>
        <w:tc>
          <w:tcPr>
            <w:tcW w:w="2164" w:type="dxa"/>
            <w:tcBorders>
              <w:top w:val="single" w:sz="12" w:space="0" w:color="000000"/>
              <w:bottom w:val="single" w:sz="12" w:space="0" w:color="000000"/>
              <w:right w:val="single" w:sz="2" w:space="0" w:color="000000"/>
            </w:tcBorders>
          </w:tcPr>
          <w:p>
            <w:pPr>
              <w:pStyle w:val="TableParagraph"/>
              <w:spacing w:line="232" w:lineRule="auto" w:before="1"/>
              <w:ind w:left="119" w:right="84" w:hanging="13"/>
              <w:jc w:val="center"/>
              <w:rPr>
                <w:b/>
                <w:sz w:val="18"/>
              </w:rPr>
            </w:pPr>
            <w:r>
              <w:rPr>
                <w:b/>
                <w:sz w:val="18"/>
              </w:rPr>
              <w:t>Sustitución de </w:t>
            </w:r>
            <w:r>
              <w:rPr>
                <w:b/>
                <w:spacing w:val="-4"/>
                <w:sz w:val="18"/>
              </w:rPr>
              <w:t>movilidad </w:t>
            </w:r>
            <w:r>
              <w:rPr>
                <w:b/>
                <w:spacing w:val="-5"/>
                <w:sz w:val="18"/>
              </w:rPr>
              <w:t>en </w:t>
            </w:r>
            <w:r>
              <w:rPr>
                <w:b/>
                <w:spacing w:val="-4"/>
                <w:sz w:val="18"/>
              </w:rPr>
              <w:t>automóvil privado </w:t>
            </w:r>
            <w:r>
              <w:rPr>
                <w:b/>
                <w:spacing w:val="3"/>
                <w:sz w:val="18"/>
              </w:rPr>
              <w:t>por</w:t>
            </w:r>
          </w:p>
          <w:p>
            <w:pPr>
              <w:pStyle w:val="TableParagraph"/>
              <w:spacing w:line="195" w:lineRule="exact" w:before="1"/>
              <w:ind w:left="119" w:right="102"/>
              <w:jc w:val="center"/>
              <w:rPr>
                <w:b/>
                <w:sz w:val="18"/>
              </w:rPr>
            </w:pPr>
            <w:r>
              <w:rPr>
                <w:b/>
                <w:sz w:val="18"/>
              </w:rPr>
              <w:t>autobús o subway</w:t>
            </w:r>
          </w:p>
        </w:tc>
        <w:tc>
          <w:tcPr>
            <w:tcW w:w="2988" w:type="dxa"/>
            <w:tcBorders>
              <w:top w:val="single" w:sz="12" w:space="0" w:color="000000"/>
              <w:left w:val="single" w:sz="2" w:space="0" w:color="000000"/>
              <w:bottom w:val="single" w:sz="12" w:space="0" w:color="000000"/>
              <w:right w:val="single" w:sz="12" w:space="0" w:color="000000"/>
            </w:tcBorders>
          </w:tcPr>
          <w:p>
            <w:pPr>
              <w:pStyle w:val="TableParagraph"/>
              <w:spacing w:line="232" w:lineRule="auto" w:before="1"/>
              <w:ind w:left="120" w:right="78"/>
              <w:jc w:val="both"/>
              <w:rPr>
                <w:sz w:val="18"/>
              </w:rPr>
            </w:pPr>
            <w:r>
              <w:rPr>
                <w:spacing w:val="-7"/>
                <w:sz w:val="18"/>
              </w:rPr>
              <w:t>20% </w:t>
            </w:r>
            <w:r>
              <w:rPr>
                <w:sz w:val="18"/>
              </w:rPr>
              <w:t>de los viajes que se </w:t>
            </w:r>
            <w:r>
              <w:rPr>
                <w:spacing w:val="-6"/>
                <w:sz w:val="18"/>
              </w:rPr>
              <w:t>reali </w:t>
            </w:r>
            <w:r>
              <w:rPr>
                <w:spacing w:val="-7"/>
                <w:sz w:val="18"/>
              </w:rPr>
              <w:t>zan </w:t>
            </w:r>
            <w:r>
              <w:rPr>
                <w:spacing w:val="-8"/>
                <w:sz w:val="18"/>
              </w:rPr>
              <w:t>en </w:t>
            </w:r>
            <w:r>
              <w:rPr>
                <w:spacing w:val="-4"/>
                <w:sz w:val="18"/>
              </w:rPr>
              <w:t>automóvil </w:t>
            </w:r>
            <w:r>
              <w:rPr>
                <w:spacing w:val="-3"/>
                <w:sz w:val="18"/>
              </w:rPr>
              <w:t>particular </w:t>
            </w:r>
            <w:r>
              <w:rPr>
                <w:spacing w:val="9"/>
                <w:sz w:val="18"/>
              </w:rPr>
              <w:t>se </w:t>
            </w:r>
            <w:r>
              <w:rPr>
                <w:spacing w:val="-6"/>
                <w:sz w:val="18"/>
              </w:rPr>
              <w:t>reali </w:t>
            </w:r>
            <w:r>
              <w:rPr>
                <w:spacing w:val="-7"/>
                <w:sz w:val="18"/>
              </w:rPr>
              <w:t>zan </w:t>
            </w:r>
            <w:r>
              <w:rPr>
                <w:spacing w:val="-8"/>
                <w:sz w:val="18"/>
              </w:rPr>
              <w:t>en </w:t>
            </w:r>
            <w:r>
              <w:rPr>
                <w:sz w:val="18"/>
              </w:rPr>
              <w:t>autobús o subway</w:t>
            </w:r>
          </w:p>
        </w:tc>
        <w:tc>
          <w:tcPr>
            <w:tcW w:w="1791" w:type="dxa"/>
            <w:tcBorders>
              <w:top w:val="single" w:sz="12" w:space="0" w:color="000000"/>
              <w:left w:val="single" w:sz="12" w:space="0" w:color="000000"/>
              <w:bottom w:val="single" w:sz="12" w:space="0" w:color="000000"/>
              <w:right w:val="single" w:sz="12" w:space="0" w:color="000000"/>
            </w:tcBorders>
          </w:tcPr>
          <w:p>
            <w:pPr>
              <w:pStyle w:val="TableParagraph"/>
              <w:spacing w:line="232" w:lineRule="auto" w:before="1"/>
              <w:ind w:left="98" w:right="76" w:hanging="1"/>
              <w:jc w:val="both"/>
              <w:rPr>
                <w:sz w:val="18"/>
              </w:rPr>
            </w:pPr>
            <w:r>
              <w:rPr>
                <w:sz w:val="18"/>
              </w:rPr>
              <w:t>Ahorro de </w:t>
            </w:r>
            <w:r>
              <w:rPr>
                <w:b/>
                <w:sz w:val="18"/>
              </w:rPr>
              <w:t>22.4 </w:t>
            </w:r>
            <w:r>
              <w:rPr>
                <w:sz w:val="18"/>
              </w:rPr>
              <w:t>millones de galones de combustible por</w:t>
            </w:r>
          </w:p>
          <w:p>
            <w:pPr>
              <w:pStyle w:val="TableParagraph"/>
              <w:spacing w:line="195" w:lineRule="exact" w:before="1"/>
              <w:ind w:left="98"/>
              <w:rPr>
                <w:sz w:val="18"/>
              </w:rPr>
            </w:pPr>
            <w:r>
              <w:rPr>
                <w:sz w:val="18"/>
              </w:rPr>
              <w:t>año</w:t>
            </w:r>
          </w:p>
        </w:tc>
        <w:tc>
          <w:tcPr>
            <w:tcW w:w="1382" w:type="dxa"/>
            <w:tcBorders>
              <w:top w:val="single" w:sz="12" w:space="0" w:color="000000"/>
              <w:left w:val="single" w:sz="12" w:space="0" w:color="000000"/>
              <w:bottom w:val="single" w:sz="12" w:space="0" w:color="000000"/>
              <w:right w:val="single" w:sz="12" w:space="0" w:color="000000"/>
            </w:tcBorders>
          </w:tcPr>
          <w:p>
            <w:pPr>
              <w:pStyle w:val="TableParagraph"/>
              <w:spacing w:before="11"/>
              <w:rPr>
                <w:rFonts w:ascii="Verdana"/>
                <w:b/>
                <w:sz w:val="25"/>
              </w:rPr>
            </w:pPr>
          </w:p>
          <w:p>
            <w:pPr>
              <w:pStyle w:val="TableParagraph"/>
              <w:ind w:left="54" w:right="40"/>
              <w:jc w:val="center"/>
              <w:rPr>
                <w:b/>
                <w:sz w:val="18"/>
              </w:rPr>
            </w:pPr>
            <w:r>
              <w:rPr>
                <w:b/>
                <w:sz w:val="18"/>
              </w:rPr>
              <w:t>66.0</w:t>
            </w:r>
          </w:p>
        </w:tc>
        <w:tc>
          <w:tcPr>
            <w:tcW w:w="1008" w:type="dxa"/>
            <w:tcBorders>
              <w:top w:val="single" w:sz="12" w:space="0" w:color="000000"/>
              <w:left w:val="single" w:sz="12" w:space="0" w:color="000000"/>
              <w:bottom w:val="single" w:sz="12" w:space="0" w:color="000000"/>
              <w:right w:val="single" w:sz="4" w:space="0" w:color="000000"/>
            </w:tcBorders>
          </w:tcPr>
          <w:p>
            <w:pPr>
              <w:pStyle w:val="TableParagraph"/>
              <w:spacing w:before="11"/>
              <w:rPr>
                <w:rFonts w:ascii="Verdana"/>
                <w:b/>
                <w:sz w:val="25"/>
              </w:rPr>
            </w:pPr>
          </w:p>
          <w:p>
            <w:pPr>
              <w:pStyle w:val="TableParagraph"/>
              <w:ind w:right="88"/>
              <w:jc w:val="right"/>
              <w:rPr>
                <w:b/>
                <w:sz w:val="18"/>
              </w:rPr>
            </w:pPr>
            <w:r>
              <w:rPr>
                <w:b/>
                <w:sz w:val="18"/>
              </w:rPr>
              <w:t>267,840</w:t>
            </w:r>
          </w:p>
        </w:tc>
      </w:tr>
      <w:tr>
        <w:trPr>
          <w:trHeight w:val="849" w:hRule="atLeast"/>
        </w:trPr>
        <w:tc>
          <w:tcPr>
            <w:tcW w:w="2164" w:type="dxa"/>
            <w:tcBorders>
              <w:top w:val="single" w:sz="12" w:space="0" w:color="000000"/>
              <w:bottom w:val="single" w:sz="12" w:space="0" w:color="000000"/>
              <w:right w:val="single" w:sz="2" w:space="0" w:color="000000"/>
            </w:tcBorders>
          </w:tcPr>
          <w:p>
            <w:pPr>
              <w:pStyle w:val="TableParagraph"/>
              <w:spacing w:line="242" w:lineRule="auto" w:before="96"/>
              <w:ind w:left="177" w:right="149" w:hanging="5"/>
              <w:jc w:val="center"/>
              <w:rPr>
                <w:b/>
                <w:sz w:val="18"/>
              </w:rPr>
            </w:pPr>
            <w:r>
              <w:rPr>
                <w:b/>
                <w:sz w:val="18"/>
              </w:rPr>
              <w:t>Sustitución de </w:t>
            </w:r>
            <w:r>
              <w:rPr>
                <w:b/>
                <w:spacing w:val="-3"/>
                <w:sz w:val="18"/>
              </w:rPr>
              <w:t>conchos por autobús </w:t>
            </w:r>
            <w:r>
              <w:rPr>
                <w:b/>
                <w:spacing w:val="-8"/>
                <w:sz w:val="18"/>
              </w:rPr>
              <w:t>de </w:t>
            </w:r>
            <w:r>
              <w:rPr>
                <w:b/>
                <w:sz w:val="18"/>
              </w:rPr>
              <w:t>mayor </w:t>
            </w:r>
            <w:r>
              <w:rPr>
                <w:b/>
                <w:spacing w:val="-4"/>
                <w:sz w:val="18"/>
              </w:rPr>
              <w:t>eficiencia</w:t>
            </w:r>
          </w:p>
        </w:tc>
        <w:tc>
          <w:tcPr>
            <w:tcW w:w="2988" w:type="dxa"/>
            <w:tcBorders>
              <w:top w:val="single" w:sz="12" w:space="0" w:color="000000"/>
              <w:left w:val="single" w:sz="2" w:space="0" w:color="000000"/>
              <w:bottom w:val="single" w:sz="12" w:space="0" w:color="000000"/>
              <w:right w:val="single" w:sz="12" w:space="0" w:color="000000"/>
            </w:tcBorders>
          </w:tcPr>
          <w:p>
            <w:pPr>
              <w:pStyle w:val="TableParagraph"/>
              <w:spacing w:line="242" w:lineRule="auto"/>
              <w:ind w:left="120" w:right="65"/>
              <w:jc w:val="both"/>
              <w:rPr>
                <w:sz w:val="18"/>
              </w:rPr>
            </w:pPr>
            <w:r>
              <w:rPr>
                <w:spacing w:val="-3"/>
                <w:sz w:val="18"/>
              </w:rPr>
              <w:t>Sustitución </w:t>
            </w:r>
            <w:r>
              <w:rPr>
                <w:spacing w:val="-7"/>
                <w:sz w:val="18"/>
              </w:rPr>
              <w:t>del </w:t>
            </w:r>
            <w:r>
              <w:rPr>
                <w:sz w:val="18"/>
              </w:rPr>
              <w:t>100% de los </w:t>
            </w:r>
            <w:r>
              <w:rPr>
                <w:spacing w:val="-3"/>
                <w:sz w:val="18"/>
              </w:rPr>
              <w:t>conchos </w:t>
            </w:r>
            <w:r>
              <w:rPr>
                <w:spacing w:val="-8"/>
                <w:sz w:val="18"/>
              </w:rPr>
              <w:t>por </w:t>
            </w:r>
            <w:r>
              <w:rPr>
                <w:spacing w:val="-3"/>
                <w:sz w:val="18"/>
              </w:rPr>
              <w:t>autobuses </w:t>
            </w:r>
            <w:r>
              <w:rPr>
                <w:spacing w:val="-2"/>
                <w:sz w:val="18"/>
              </w:rPr>
              <w:t>con mejora </w:t>
            </w:r>
            <w:r>
              <w:rPr>
                <w:spacing w:val="-10"/>
                <w:sz w:val="18"/>
              </w:rPr>
              <w:t>de </w:t>
            </w:r>
            <w:r>
              <w:rPr>
                <w:sz w:val="18"/>
              </w:rPr>
              <w:t>20% en</w:t>
            </w:r>
            <w:r>
              <w:rPr>
                <w:spacing w:val="-9"/>
                <w:sz w:val="18"/>
              </w:rPr>
              <w:t> </w:t>
            </w:r>
            <w:r>
              <w:rPr>
                <w:sz w:val="18"/>
              </w:rPr>
              <w:t>eficiencia</w:t>
            </w:r>
          </w:p>
        </w:tc>
        <w:tc>
          <w:tcPr>
            <w:tcW w:w="1791" w:type="dxa"/>
            <w:tcBorders>
              <w:top w:val="single" w:sz="12" w:space="0" w:color="000000"/>
              <w:left w:val="single" w:sz="12" w:space="0" w:color="000000"/>
              <w:bottom w:val="single" w:sz="12" w:space="0" w:color="000000"/>
              <w:right w:val="single" w:sz="12" w:space="0" w:color="000000"/>
            </w:tcBorders>
          </w:tcPr>
          <w:p>
            <w:pPr>
              <w:pStyle w:val="TableParagraph"/>
              <w:tabs>
                <w:tab w:pos="859" w:val="left" w:leader="none"/>
                <w:tab w:pos="1286" w:val="left" w:leader="none"/>
              </w:tabs>
              <w:spacing w:line="212" w:lineRule="exact"/>
              <w:ind w:left="98"/>
              <w:rPr>
                <w:b/>
                <w:sz w:val="18"/>
              </w:rPr>
            </w:pPr>
            <w:r>
              <w:rPr>
                <w:sz w:val="18"/>
              </w:rPr>
              <w:t>Ahorro</w:t>
              <w:tab/>
              <w:t>de</w:t>
              <w:tab/>
            </w:r>
            <w:r>
              <w:rPr>
                <w:b/>
                <w:spacing w:val="-3"/>
                <w:sz w:val="18"/>
              </w:rPr>
              <w:t>30.0</w:t>
            </w:r>
          </w:p>
          <w:p>
            <w:pPr>
              <w:pStyle w:val="TableParagraph"/>
              <w:spacing w:before="3"/>
              <w:ind w:left="98"/>
              <w:rPr>
                <w:sz w:val="18"/>
              </w:rPr>
            </w:pPr>
            <w:r>
              <w:rPr>
                <w:spacing w:val="-3"/>
                <w:sz w:val="18"/>
              </w:rPr>
              <w:t>millones  </w:t>
            </w:r>
            <w:r>
              <w:rPr>
                <w:sz w:val="18"/>
              </w:rPr>
              <w:t>de</w:t>
            </w:r>
            <w:r>
              <w:rPr>
                <w:spacing w:val="10"/>
                <w:sz w:val="18"/>
              </w:rPr>
              <w:t> </w:t>
            </w:r>
            <w:r>
              <w:rPr>
                <w:spacing w:val="-4"/>
                <w:sz w:val="18"/>
              </w:rPr>
              <w:t>galones</w:t>
            </w:r>
          </w:p>
          <w:p>
            <w:pPr>
              <w:pStyle w:val="TableParagraph"/>
              <w:spacing w:line="202" w:lineRule="exact" w:before="20"/>
              <w:ind w:left="98"/>
              <w:rPr>
                <w:sz w:val="18"/>
              </w:rPr>
            </w:pPr>
            <w:r>
              <w:rPr>
                <w:sz w:val="18"/>
              </w:rPr>
              <w:t>de combustible por año</w:t>
            </w:r>
          </w:p>
        </w:tc>
        <w:tc>
          <w:tcPr>
            <w:tcW w:w="1382" w:type="dxa"/>
            <w:tcBorders>
              <w:top w:val="single" w:sz="12" w:space="0" w:color="000000"/>
              <w:left w:val="single" w:sz="12" w:space="0" w:color="000000"/>
              <w:bottom w:val="single" w:sz="12" w:space="0" w:color="000000"/>
              <w:right w:val="single" w:sz="12" w:space="0" w:color="000000"/>
            </w:tcBorders>
          </w:tcPr>
          <w:p>
            <w:pPr>
              <w:pStyle w:val="TableParagraph"/>
              <w:spacing w:before="10"/>
              <w:rPr>
                <w:rFonts w:ascii="Verdana"/>
                <w:b/>
                <w:sz w:val="25"/>
              </w:rPr>
            </w:pPr>
          </w:p>
          <w:p>
            <w:pPr>
              <w:pStyle w:val="TableParagraph"/>
              <w:ind w:left="54" w:right="40"/>
              <w:jc w:val="center"/>
              <w:rPr>
                <w:b/>
                <w:sz w:val="18"/>
              </w:rPr>
            </w:pPr>
            <w:r>
              <w:rPr>
                <w:b/>
                <w:sz w:val="18"/>
              </w:rPr>
              <w:t>85.98</w:t>
            </w:r>
          </w:p>
        </w:tc>
        <w:tc>
          <w:tcPr>
            <w:tcW w:w="1008" w:type="dxa"/>
            <w:tcBorders>
              <w:top w:val="single" w:sz="12" w:space="0" w:color="000000"/>
              <w:left w:val="single" w:sz="12" w:space="0" w:color="000000"/>
              <w:bottom w:val="single" w:sz="12" w:space="0" w:color="000000"/>
              <w:right w:val="single" w:sz="4" w:space="0" w:color="000000"/>
            </w:tcBorders>
          </w:tcPr>
          <w:p>
            <w:pPr>
              <w:pStyle w:val="TableParagraph"/>
              <w:spacing w:before="10"/>
              <w:rPr>
                <w:rFonts w:ascii="Verdana"/>
                <w:b/>
                <w:sz w:val="25"/>
              </w:rPr>
            </w:pPr>
          </w:p>
          <w:p>
            <w:pPr>
              <w:pStyle w:val="TableParagraph"/>
              <w:ind w:right="89"/>
              <w:jc w:val="right"/>
              <w:rPr>
                <w:b/>
                <w:sz w:val="18"/>
              </w:rPr>
            </w:pPr>
            <w:r>
              <w:rPr>
                <w:b/>
                <w:sz w:val="18"/>
              </w:rPr>
              <w:t>164,485</w:t>
            </w:r>
          </w:p>
        </w:tc>
      </w:tr>
      <w:tr>
        <w:trPr>
          <w:trHeight w:val="267" w:hRule="atLeast"/>
        </w:trPr>
        <w:tc>
          <w:tcPr>
            <w:tcW w:w="9333" w:type="dxa"/>
            <w:gridSpan w:val="5"/>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8"/>
              </w:rPr>
            </w:pPr>
          </w:p>
        </w:tc>
      </w:tr>
    </w:tbl>
    <w:p>
      <w:pPr>
        <w:pStyle w:val="ListParagraph"/>
        <w:numPr>
          <w:ilvl w:val="0"/>
          <w:numId w:val="56"/>
        </w:numPr>
        <w:tabs>
          <w:tab w:pos="533" w:val="left" w:leader="none"/>
        </w:tabs>
        <w:spacing w:line="240" w:lineRule="auto" w:before="0" w:after="0"/>
        <w:ind w:left="240" w:right="1056" w:firstLine="0"/>
        <w:jc w:val="left"/>
        <w:rPr>
          <w:rFonts w:ascii="Verdana" w:hAnsi="Verdana"/>
          <w:sz w:val="20"/>
        </w:rPr>
      </w:pPr>
      <w:r>
        <w:rPr>
          <w:sz w:val="20"/>
        </w:rPr>
        <w:t>La mejora en el rendimiento de combustibles de vehículos privados incluye medidas de introducción de vehículos de bajo</w:t>
      </w:r>
      <w:r>
        <w:rPr>
          <w:spacing w:val="-1"/>
          <w:sz w:val="20"/>
        </w:rPr>
        <w:t> </w:t>
      </w:r>
      <w:r>
        <w:rPr>
          <w:sz w:val="20"/>
        </w:rPr>
        <w:t>cilindraje.</w:t>
      </w:r>
    </w:p>
    <w:p>
      <w:pPr>
        <w:pStyle w:val="ListParagraph"/>
        <w:numPr>
          <w:ilvl w:val="0"/>
          <w:numId w:val="56"/>
        </w:numPr>
        <w:tabs>
          <w:tab w:pos="534" w:val="left" w:leader="none"/>
        </w:tabs>
        <w:spacing w:line="240" w:lineRule="exact" w:before="0" w:after="0"/>
        <w:ind w:left="533" w:right="0" w:hanging="294"/>
        <w:jc w:val="left"/>
        <w:rPr>
          <w:sz w:val="20"/>
        </w:rPr>
      </w:pPr>
      <w:r>
        <w:rPr>
          <w:sz w:val="20"/>
        </w:rPr>
        <w:t>La sustitución de conchos por autobús es una política de largo</w:t>
      </w:r>
      <w:r>
        <w:rPr>
          <w:spacing w:val="2"/>
          <w:sz w:val="20"/>
        </w:rPr>
        <w:t> </w:t>
      </w:r>
      <w:r>
        <w:rPr>
          <w:sz w:val="20"/>
        </w:rPr>
        <w:t>plazo.</w:t>
      </w:r>
    </w:p>
    <w:p>
      <w:pPr>
        <w:spacing w:before="1"/>
        <w:ind w:left="239" w:right="1061" w:firstLine="0"/>
        <w:jc w:val="both"/>
        <w:rPr>
          <w:sz w:val="20"/>
        </w:rPr>
      </w:pPr>
      <w:r>
        <w:rPr>
          <w:sz w:val="20"/>
        </w:rPr>
        <w:t>Fuente: </w:t>
      </w:r>
      <w:r>
        <w:rPr>
          <w:b/>
          <w:sz w:val="20"/>
        </w:rPr>
        <w:t>DIAGNÓSTICO Y DEFINICIÓN DE LÍNEAS ESTRATÉGICAS SOBRE EL USO RACIONAL DE ENERGÍA (URE) EN REPÚBLICA DOMINICANA, </w:t>
      </w:r>
      <w:r>
        <w:rPr>
          <w:sz w:val="20"/>
        </w:rPr>
        <w:t>Odón de Buen R., Enero de 2008.</w:t>
      </w:r>
    </w:p>
    <w:p>
      <w:pPr>
        <w:pStyle w:val="BodyText"/>
        <w:spacing w:before="11"/>
        <w:rPr>
          <w:sz w:val="22"/>
        </w:rPr>
      </w:pPr>
    </w:p>
    <w:p>
      <w:pPr>
        <w:pStyle w:val="BodyText"/>
        <w:ind w:left="240" w:right="1054"/>
        <w:jc w:val="both"/>
      </w:pPr>
      <w:r>
        <w:rPr/>
        <w:t>En total, se estima un potencial de ahorro de energía de un poco más de 887 kTep, lo cual representa cerca del 17.7% del consumo final actual. Los sectores con mayor potencial son el residencial con la sustitución de leña, el transporte y el industrial con la cogeneración.</w:t>
      </w:r>
    </w:p>
    <w:p>
      <w:pPr>
        <w:pStyle w:val="BodyText"/>
        <w:spacing w:before="1"/>
      </w:pPr>
    </w:p>
    <w:p>
      <w:pPr>
        <w:pStyle w:val="BodyText"/>
        <w:ind w:left="240" w:right="1056"/>
        <w:jc w:val="both"/>
      </w:pPr>
      <w:r>
        <w:rPr/>
        <w:t>El potencial de ahorro de energía conlleva a un potencial en reducción de emisiones de un poco más de 4.56 millones de Toneladas de CO</w:t>
      </w:r>
      <w:r>
        <w:rPr>
          <w:vertAlign w:val="subscript"/>
        </w:rPr>
        <w:t>2</w:t>
      </w:r>
      <w:r>
        <w:rPr>
          <w:vertAlign w:val="baseline"/>
        </w:rPr>
        <w:t> por año, donde resalta significativamente la reducción que se logra por la sustitución de leña en los hogares rurales (Tabla</w:t>
      </w:r>
      <w:r>
        <w:rPr>
          <w:spacing w:val="-20"/>
          <w:vertAlign w:val="baseline"/>
        </w:rPr>
        <w:t> </w:t>
      </w:r>
      <w:r>
        <w:rPr>
          <w:vertAlign w:val="baseline"/>
        </w:rPr>
        <w:t>4.2).</w:t>
      </w:r>
    </w:p>
    <w:p>
      <w:pPr>
        <w:spacing w:after="0"/>
        <w:jc w:val="both"/>
        <w:sectPr>
          <w:pgSz w:w="12240" w:h="15840"/>
          <w:pgMar w:header="718" w:footer="954" w:top="1360" w:bottom="1140" w:left="1200" w:right="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Heading9"/>
        <w:spacing w:before="101"/>
        <w:ind w:left="782"/>
        <w:rPr>
          <w:rFonts w:ascii="Verdana" w:hAnsi="Verdana"/>
        </w:rPr>
      </w:pPr>
      <w:r>
        <w:rPr>
          <w:rFonts w:ascii="Verdana" w:hAnsi="Verdana"/>
        </w:rPr>
        <w:t>Tabla 4.2 - Ahorros estimados de energía y de emisiones de CO</w:t>
      </w:r>
      <w:r>
        <w:rPr>
          <w:rFonts w:ascii="Verdana" w:hAnsi="Verdana"/>
          <w:vertAlign w:val="subscript"/>
        </w:rPr>
        <w:t>2</w:t>
      </w:r>
    </w:p>
    <w:p>
      <w:pPr>
        <w:pStyle w:val="BodyText"/>
        <w:spacing w:before="9"/>
        <w:rPr>
          <w:rFonts w:ascii="Verdana"/>
          <w:b/>
        </w:rPr>
      </w:pPr>
    </w:p>
    <w:tbl>
      <w:tblPr>
        <w:tblW w:w="0" w:type="auto"/>
        <w:jc w:val="left"/>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6"/>
        <w:gridCol w:w="1276"/>
        <w:gridCol w:w="849"/>
        <w:gridCol w:w="1147"/>
        <w:gridCol w:w="1077"/>
        <w:gridCol w:w="1083"/>
        <w:gridCol w:w="1161"/>
      </w:tblGrid>
      <w:tr>
        <w:trPr>
          <w:trHeight w:val="263" w:hRule="atLeast"/>
        </w:trPr>
        <w:tc>
          <w:tcPr>
            <w:tcW w:w="2126" w:type="dxa"/>
            <w:vMerge w:val="restart"/>
            <w:shd w:val="clear" w:color="auto" w:fill="CCCCCC"/>
          </w:tcPr>
          <w:p>
            <w:pPr>
              <w:pStyle w:val="TableParagraph"/>
              <w:spacing w:before="10"/>
              <w:rPr>
                <w:rFonts w:ascii="Verdana"/>
                <w:b/>
                <w:sz w:val="25"/>
              </w:rPr>
            </w:pPr>
          </w:p>
          <w:p>
            <w:pPr>
              <w:pStyle w:val="TableParagraph"/>
              <w:ind w:left="68" w:right="1125"/>
              <w:rPr>
                <w:rFonts w:ascii="Verdana"/>
                <w:sz w:val="22"/>
              </w:rPr>
            </w:pPr>
            <w:r>
              <w:rPr>
                <w:rFonts w:ascii="Verdana"/>
                <w:b/>
                <w:sz w:val="22"/>
              </w:rPr>
              <w:t>Sector</w:t>
            </w:r>
            <w:r>
              <w:rPr>
                <w:rFonts w:ascii="Verdana"/>
                <w:sz w:val="22"/>
              </w:rPr>
              <w:t>/ Medidas</w:t>
            </w:r>
          </w:p>
        </w:tc>
        <w:tc>
          <w:tcPr>
            <w:tcW w:w="3272" w:type="dxa"/>
            <w:gridSpan w:val="3"/>
            <w:shd w:val="clear" w:color="auto" w:fill="CCCCCC"/>
          </w:tcPr>
          <w:p>
            <w:pPr>
              <w:pStyle w:val="TableParagraph"/>
              <w:spacing w:line="243" w:lineRule="exact"/>
              <w:ind w:left="474"/>
              <w:rPr>
                <w:rFonts w:ascii="Verdana"/>
                <w:b/>
                <w:sz w:val="22"/>
              </w:rPr>
            </w:pPr>
            <w:r>
              <w:rPr>
                <w:rFonts w:ascii="Verdana"/>
                <w:b/>
                <w:sz w:val="22"/>
              </w:rPr>
              <w:t>Ahorros estimados</w:t>
            </w:r>
          </w:p>
        </w:tc>
        <w:tc>
          <w:tcPr>
            <w:tcW w:w="1077" w:type="dxa"/>
            <w:vMerge w:val="restart"/>
            <w:shd w:val="clear" w:color="auto" w:fill="CCCCCC"/>
          </w:tcPr>
          <w:p>
            <w:pPr>
              <w:pStyle w:val="TableParagraph"/>
              <w:spacing w:before="5"/>
              <w:rPr>
                <w:rFonts w:ascii="Verdana"/>
                <w:b/>
                <w:sz w:val="16"/>
              </w:rPr>
            </w:pPr>
          </w:p>
          <w:p>
            <w:pPr>
              <w:pStyle w:val="TableParagraph"/>
              <w:ind w:left="122" w:right="106"/>
              <w:jc w:val="center"/>
              <w:rPr>
                <w:rFonts w:ascii="Verdana"/>
                <w:sz w:val="16"/>
              </w:rPr>
            </w:pPr>
            <w:r>
              <w:rPr>
                <w:rFonts w:ascii="Verdana"/>
                <w:b/>
                <w:sz w:val="16"/>
              </w:rPr>
              <w:t>Consumo del concepto </w:t>
            </w:r>
            <w:r>
              <w:rPr>
                <w:rFonts w:ascii="Verdana"/>
                <w:sz w:val="16"/>
              </w:rPr>
              <w:t>(KTep)</w:t>
            </w:r>
          </w:p>
        </w:tc>
        <w:tc>
          <w:tcPr>
            <w:tcW w:w="1083" w:type="dxa"/>
            <w:vMerge w:val="restart"/>
            <w:shd w:val="clear" w:color="auto" w:fill="CCCCCC"/>
          </w:tcPr>
          <w:p>
            <w:pPr>
              <w:pStyle w:val="TableParagraph"/>
              <w:spacing w:before="5"/>
              <w:rPr>
                <w:rFonts w:ascii="Verdana"/>
                <w:b/>
                <w:sz w:val="16"/>
              </w:rPr>
            </w:pPr>
          </w:p>
          <w:p>
            <w:pPr>
              <w:pStyle w:val="TableParagraph"/>
              <w:ind w:left="135" w:right="112" w:hanging="4"/>
              <w:jc w:val="center"/>
              <w:rPr>
                <w:rFonts w:ascii="Verdana"/>
                <w:b/>
                <w:sz w:val="16"/>
              </w:rPr>
            </w:pPr>
            <w:r>
              <w:rPr>
                <w:rFonts w:ascii="Verdana"/>
                <w:b/>
                <w:sz w:val="16"/>
              </w:rPr>
              <w:t>% sobre el total del concepto</w:t>
            </w:r>
          </w:p>
        </w:tc>
        <w:tc>
          <w:tcPr>
            <w:tcW w:w="1161" w:type="dxa"/>
            <w:vMerge w:val="restart"/>
            <w:shd w:val="clear" w:color="auto" w:fill="CCCCCC"/>
          </w:tcPr>
          <w:p>
            <w:pPr>
              <w:pStyle w:val="TableParagraph"/>
              <w:spacing w:before="2"/>
              <w:ind w:left="98" w:right="78"/>
              <w:jc w:val="center"/>
              <w:rPr>
                <w:rFonts w:ascii="Verdana" w:hAnsi="Verdana"/>
                <w:b/>
                <w:sz w:val="16"/>
              </w:rPr>
            </w:pPr>
            <w:r>
              <w:rPr>
                <w:rFonts w:ascii="Verdana" w:hAnsi="Verdana"/>
                <w:b/>
                <w:sz w:val="16"/>
              </w:rPr>
              <w:t>Período en el que se aprovecha el     potencial</w:t>
            </w:r>
          </w:p>
          <w:p>
            <w:pPr>
              <w:pStyle w:val="TableParagraph"/>
              <w:spacing w:line="162" w:lineRule="exact" w:before="5"/>
              <w:ind w:left="97" w:right="78"/>
              <w:jc w:val="center"/>
              <w:rPr>
                <w:rFonts w:ascii="Verdana" w:hAnsi="Verdana"/>
                <w:b/>
                <w:sz w:val="16"/>
              </w:rPr>
            </w:pPr>
            <w:r>
              <w:rPr>
                <w:rFonts w:ascii="Verdana" w:hAnsi="Verdana"/>
                <w:b/>
                <w:sz w:val="16"/>
              </w:rPr>
              <w:t>(años)</w:t>
            </w:r>
          </w:p>
        </w:tc>
      </w:tr>
      <w:tr>
        <w:trPr>
          <w:trHeight w:val="883" w:hRule="atLeast"/>
        </w:trPr>
        <w:tc>
          <w:tcPr>
            <w:tcW w:w="2126" w:type="dxa"/>
            <w:vMerge/>
            <w:tcBorders>
              <w:top w:val="nil"/>
            </w:tcBorders>
            <w:shd w:val="clear" w:color="auto" w:fill="CCCCCC"/>
          </w:tcPr>
          <w:p>
            <w:pPr>
              <w:rPr>
                <w:sz w:val="2"/>
                <w:szCs w:val="2"/>
              </w:rPr>
            </w:pPr>
          </w:p>
        </w:tc>
        <w:tc>
          <w:tcPr>
            <w:tcW w:w="1276" w:type="dxa"/>
            <w:shd w:val="clear" w:color="auto" w:fill="CCCCCC"/>
          </w:tcPr>
          <w:p>
            <w:pPr>
              <w:pStyle w:val="TableParagraph"/>
              <w:spacing w:before="9"/>
              <w:rPr>
                <w:rFonts w:ascii="Verdana"/>
                <w:b/>
                <w:sz w:val="20"/>
              </w:rPr>
            </w:pPr>
          </w:p>
          <w:p>
            <w:pPr>
              <w:pStyle w:val="TableParagraph"/>
              <w:ind w:left="90" w:right="80"/>
              <w:jc w:val="center"/>
              <w:rPr>
                <w:rFonts w:ascii="Verdana"/>
                <w:b/>
                <w:sz w:val="16"/>
              </w:rPr>
            </w:pPr>
            <w:r>
              <w:rPr>
                <w:rFonts w:ascii="Verdana"/>
                <w:b/>
                <w:sz w:val="16"/>
              </w:rPr>
              <w:t>Electricidad</w:t>
            </w:r>
          </w:p>
          <w:p>
            <w:pPr>
              <w:pStyle w:val="TableParagraph"/>
              <w:ind w:left="89" w:right="80"/>
              <w:jc w:val="center"/>
              <w:rPr>
                <w:rFonts w:ascii="Verdana"/>
                <w:sz w:val="16"/>
              </w:rPr>
            </w:pPr>
            <w:r>
              <w:rPr>
                <w:rFonts w:ascii="Verdana"/>
                <w:sz w:val="16"/>
              </w:rPr>
              <w:t>(GWh)</w:t>
            </w:r>
          </w:p>
        </w:tc>
        <w:tc>
          <w:tcPr>
            <w:tcW w:w="849" w:type="dxa"/>
            <w:shd w:val="clear" w:color="auto" w:fill="CCCCCC"/>
          </w:tcPr>
          <w:p>
            <w:pPr>
              <w:pStyle w:val="TableParagraph"/>
              <w:spacing w:before="156"/>
              <w:ind w:left="81" w:right="67"/>
              <w:jc w:val="center"/>
              <w:rPr>
                <w:rFonts w:ascii="Verdana" w:hAnsi="Verdana"/>
                <w:sz w:val="16"/>
              </w:rPr>
            </w:pPr>
            <w:r>
              <w:rPr>
                <w:rFonts w:ascii="Verdana" w:hAnsi="Verdana"/>
                <w:b/>
                <w:sz w:val="16"/>
              </w:rPr>
              <w:t>Energía </w:t>
            </w:r>
            <w:r>
              <w:rPr>
                <w:rFonts w:ascii="Verdana" w:hAnsi="Verdana"/>
                <w:sz w:val="16"/>
              </w:rPr>
              <w:t>(En KTep)</w:t>
            </w:r>
          </w:p>
        </w:tc>
        <w:tc>
          <w:tcPr>
            <w:tcW w:w="1147" w:type="dxa"/>
            <w:shd w:val="clear" w:color="auto" w:fill="CCCCCC"/>
          </w:tcPr>
          <w:p>
            <w:pPr>
              <w:pStyle w:val="TableParagraph"/>
              <w:spacing w:before="58"/>
              <w:ind w:left="63" w:right="43"/>
              <w:jc w:val="center"/>
              <w:rPr>
                <w:rFonts w:ascii="Verdana"/>
                <w:b/>
                <w:sz w:val="16"/>
              </w:rPr>
            </w:pPr>
            <w:r>
              <w:rPr>
                <w:rFonts w:ascii="Verdana"/>
                <w:b/>
                <w:sz w:val="16"/>
              </w:rPr>
              <w:t>Emisiones </w:t>
            </w:r>
            <w:r>
              <w:rPr>
                <w:rFonts w:ascii="Verdana"/>
                <w:b/>
                <w:position w:val="2"/>
                <w:sz w:val="16"/>
              </w:rPr>
              <w:t>CO</w:t>
            </w:r>
            <w:r>
              <w:rPr>
                <w:rFonts w:ascii="Verdana"/>
                <w:b/>
                <w:position w:val="2"/>
                <w:sz w:val="16"/>
                <w:vertAlign w:val="subscript"/>
              </w:rPr>
              <w:t>2</w:t>
            </w:r>
          </w:p>
          <w:p>
            <w:pPr>
              <w:pStyle w:val="TableParagraph"/>
              <w:spacing w:line="174" w:lineRule="exact"/>
              <w:ind w:left="63" w:right="45"/>
              <w:jc w:val="center"/>
              <w:rPr>
                <w:rFonts w:ascii="Verdana"/>
                <w:sz w:val="16"/>
              </w:rPr>
            </w:pPr>
            <w:r>
              <w:rPr>
                <w:rFonts w:ascii="Verdana"/>
                <w:sz w:val="16"/>
              </w:rPr>
              <w:t>(En Miles de</w:t>
            </w:r>
          </w:p>
          <w:p>
            <w:pPr>
              <w:pStyle w:val="TableParagraph"/>
              <w:spacing w:before="2"/>
              <w:ind w:left="61" w:right="45"/>
              <w:jc w:val="center"/>
              <w:rPr>
                <w:rFonts w:ascii="Verdana"/>
                <w:sz w:val="16"/>
              </w:rPr>
            </w:pPr>
            <w:r>
              <w:rPr>
                <w:rFonts w:ascii="Verdana"/>
                <w:sz w:val="16"/>
              </w:rPr>
              <w:t>Ton)</w:t>
            </w:r>
          </w:p>
        </w:tc>
        <w:tc>
          <w:tcPr>
            <w:tcW w:w="1077" w:type="dxa"/>
            <w:vMerge/>
            <w:tcBorders>
              <w:top w:val="nil"/>
            </w:tcBorders>
            <w:shd w:val="clear" w:color="auto" w:fill="CCCCCC"/>
          </w:tcPr>
          <w:p>
            <w:pPr>
              <w:rPr>
                <w:sz w:val="2"/>
                <w:szCs w:val="2"/>
              </w:rPr>
            </w:pPr>
          </w:p>
        </w:tc>
        <w:tc>
          <w:tcPr>
            <w:tcW w:w="1083" w:type="dxa"/>
            <w:vMerge/>
            <w:tcBorders>
              <w:top w:val="nil"/>
            </w:tcBorders>
            <w:shd w:val="clear" w:color="auto" w:fill="CCCCCC"/>
          </w:tcPr>
          <w:p>
            <w:pPr>
              <w:rPr>
                <w:sz w:val="2"/>
                <w:szCs w:val="2"/>
              </w:rPr>
            </w:pPr>
          </w:p>
        </w:tc>
        <w:tc>
          <w:tcPr>
            <w:tcW w:w="1161" w:type="dxa"/>
            <w:vMerge/>
            <w:tcBorders>
              <w:top w:val="nil"/>
            </w:tcBorders>
            <w:shd w:val="clear" w:color="auto" w:fill="CCCCCC"/>
          </w:tcPr>
          <w:p>
            <w:pPr>
              <w:rPr>
                <w:sz w:val="2"/>
                <w:szCs w:val="2"/>
              </w:rPr>
            </w:pPr>
          </w:p>
        </w:tc>
      </w:tr>
      <w:tr>
        <w:trPr>
          <w:trHeight w:val="485" w:hRule="atLeast"/>
        </w:trPr>
        <w:tc>
          <w:tcPr>
            <w:tcW w:w="2126" w:type="dxa"/>
            <w:shd w:val="clear" w:color="auto" w:fill="CCCCCC"/>
          </w:tcPr>
          <w:p>
            <w:pPr>
              <w:pStyle w:val="TableParagraph"/>
              <w:spacing w:line="242" w:lineRule="exact" w:before="12"/>
              <w:ind w:left="68"/>
              <w:rPr>
                <w:rFonts w:ascii="Verdana"/>
                <w:b/>
                <w:sz w:val="20"/>
              </w:rPr>
            </w:pPr>
            <w:r>
              <w:rPr>
                <w:rFonts w:ascii="Verdana"/>
                <w:b/>
                <w:w w:val="95"/>
                <w:sz w:val="20"/>
              </w:rPr>
              <w:t>RESIDENCIAL </w:t>
            </w:r>
            <w:r>
              <w:rPr>
                <w:rFonts w:ascii="Verdana"/>
                <w:b/>
                <w:sz w:val="20"/>
              </w:rPr>
              <w:t>(TOTAL)</w:t>
            </w:r>
          </w:p>
        </w:tc>
        <w:tc>
          <w:tcPr>
            <w:tcW w:w="1276" w:type="dxa"/>
            <w:shd w:val="clear" w:color="auto" w:fill="CCCCCC"/>
          </w:tcPr>
          <w:p>
            <w:pPr>
              <w:pStyle w:val="TableParagraph"/>
              <w:spacing w:before="140"/>
              <w:ind w:left="87" w:right="80"/>
              <w:jc w:val="center"/>
              <w:rPr>
                <w:rFonts w:ascii="Verdana"/>
                <w:b/>
                <w:sz w:val="18"/>
              </w:rPr>
            </w:pPr>
            <w:r>
              <w:rPr>
                <w:rFonts w:ascii="Verdana"/>
                <w:b/>
                <w:sz w:val="18"/>
              </w:rPr>
              <w:t>790</w:t>
            </w:r>
          </w:p>
        </w:tc>
        <w:tc>
          <w:tcPr>
            <w:tcW w:w="849" w:type="dxa"/>
            <w:shd w:val="clear" w:color="auto" w:fill="CCCCCC"/>
          </w:tcPr>
          <w:p>
            <w:pPr>
              <w:pStyle w:val="TableParagraph"/>
              <w:spacing w:before="140"/>
              <w:ind w:left="75" w:right="67"/>
              <w:jc w:val="center"/>
              <w:rPr>
                <w:rFonts w:ascii="Verdana"/>
                <w:b/>
                <w:sz w:val="18"/>
              </w:rPr>
            </w:pPr>
            <w:r>
              <w:rPr>
                <w:rFonts w:ascii="Verdana"/>
                <w:b/>
                <w:sz w:val="18"/>
              </w:rPr>
              <w:t>355</w:t>
            </w:r>
          </w:p>
        </w:tc>
        <w:tc>
          <w:tcPr>
            <w:tcW w:w="1147" w:type="dxa"/>
            <w:shd w:val="clear" w:color="auto" w:fill="CCCCCC"/>
          </w:tcPr>
          <w:p>
            <w:pPr>
              <w:pStyle w:val="TableParagraph"/>
              <w:spacing w:before="140"/>
              <w:ind w:left="56" w:right="45"/>
              <w:jc w:val="center"/>
              <w:rPr>
                <w:rFonts w:ascii="Verdana"/>
                <w:b/>
                <w:sz w:val="18"/>
              </w:rPr>
            </w:pPr>
            <w:r>
              <w:rPr>
                <w:rFonts w:ascii="Verdana"/>
                <w:b/>
                <w:sz w:val="18"/>
              </w:rPr>
              <w:t>1,869.6</w:t>
            </w:r>
          </w:p>
        </w:tc>
        <w:tc>
          <w:tcPr>
            <w:tcW w:w="1077" w:type="dxa"/>
            <w:shd w:val="clear" w:color="auto" w:fill="CCCCCC"/>
          </w:tcPr>
          <w:p>
            <w:pPr>
              <w:pStyle w:val="TableParagraph"/>
              <w:spacing w:before="140"/>
              <w:ind w:left="118" w:right="106"/>
              <w:jc w:val="center"/>
              <w:rPr>
                <w:rFonts w:ascii="Verdana"/>
                <w:b/>
                <w:sz w:val="18"/>
              </w:rPr>
            </w:pPr>
            <w:r>
              <w:rPr>
                <w:rFonts w:ascii="Verdana"/>
                <w:b/>
                <w:sz w:val="18"/>
              </w:rPr>
              <w:t>1,452</w:t>
            </w:r>
          </w:p>
        </w:tc>
        <w:tc>
          <w:tcPr>
            <w:tcW w:w="1083" w:type="dxa"/>
            <w:shd w:val="clear" w:color="auto" w:fill="CCCCCC"/>
          </w:tcPr>
          <w:p>
            <w:pPr>
              <w:pStyle w:val="TableParagraph"/>
              <w:spacing w:before="140"/>
              <w:ind w:left="299" w:right="280"/>
              <w:jc w:val="center"/>
              <w:rPr>
                <w:rFonts w:ascii="Verdana"/>
                <w:b/>
                <w:i/>
                <w:sz w:val="18"/>
              </w:rPr>
            </w:pPr>
            <w:r>
              <w:rPr>
                <w:rFonts w:ascii="Verdana"/>
                <w:b/>
                <w:i/>
                <w:sz w:val="18"/>
              </w:rPr>
              <w:t>24.5</w:t>
            </w:r>
          </w:p>
        </w:tc>
        <w:tc>
          <w:tcPr>
            <w:tcW w:w="1161" w:type="dxa"/>
            <w:shd w:val="clear" w:color="auto" w:fill="CCCCCC"/>
          </w:tcPr>
          <w:p>
            <w:pPr>
              <w:pStyle w:val="TableParagraph"/>
              <w:spacing w:before="140"/>
              <w:ind w:left="16"/>
              <w:jc w:val="center"/>
              <w:rPr>
                <w:rFonts w:ascii="Verdana"/>
                <w:b/>
                <w:i/>
                <w:sz w:val="18"/>
              </w:rPr>
            </w:pPr>
            <w:r>
              <w:rPr>
                <w:rFonts w:ascii="Verdana"/>
                <w:b/>
                <w:i/>
                <w:w w:val="100"/>
                <w:sz w:val="18"/>
              </w:rPr>
              <w:t>-</w:t>
            </w:r>
          </w:p>
        </w:tc>
      </w:tr>
      <w:tr>
        <w:trPr>
          <w:trHeight w:val="256" w:hRule="atLeast"/>
        </w:trPr>
        <w:tc>
          <w:tcPr>
            <w:tcW w:w="2126" w:type="dxa"/>
          </w:tcPr>
          <w:p>
            <w:pPr>
              <w:pStyle w:val="TableParagraph"/>
              <w:spacing w:line="168" w:lineRule="exact" w:before="69"/>
              <w:ind w:left="68"/>
              <w:rPr>
                <w:rFonts w:ascii="Verdana" w:hAnsi="Verdana"/>
                <w:sz w:val="16"/>
              </w:rPr>
            </w:pPr>
            <w:r>
              <w:rPr>
                <w:rFonts w:ascii="Verdana" w:hAnsi="Verdana"/>
                <w:sz w:val="16"/>
              </w:rPr>
              <w:t>Iluminación</w:t>
            </w:r>
          </w:p>
        </w:tc>
        <w:tc>
          <w:tcPr>
            <w:tcW w:w="1276" w:type="dxa"/>
          </w:tcPr>
          <w:p>
            <w:pPr>
              <w:pStyle w:val="TableParagraph"/>
              <w:spacing w:before="18"/>
              <w:ind w:left="90" w:right="78"/>
              <w:jc w:val="center"/>
              <w:rPr>
                <w:rFonts w:ascii="Verdana"/>
                <w:sz w:val="18"/>
              </w:rPr>
            </w:pPr>
            <w:r>
              <w:rPr>
                <w:rFonts w:ascii="Verdana"/>
                <w:sz w:val="18"/>
              </w:rPr>
              <w:t>110</w:t>
            </w:r>
          </w:p>
        </w:tc>
        <w:tc>
          <w:tcPr>
            <w:tcW w:w="849" w:type="dxa"/>
          </w:tcPr>
          <w:p>
            <w:pPr>
              <w:pStyle w:val="TableParagraph"/>
              <w:spacing w:before="18"/>
              <w:ind w:left="9"/>
              <w:jc w:val="center"/>
              <w:rPr>
                <w:rFonts w:ascii="Verdana"/>
                <w:sz w:val="18"/>
              </w:rPr>
            </w:pPr>
            <w:r>
              <w:rPr>
                <w:rFonts w:ascii="Verdana"/>
                <w:w w:val="100"/>
                <w:sz w:val="18"/>
              </w:rPr>
              <w:t>9</w:t>
            </w:r>
          </w:p>
        </w:tc>
        <w:tc>
          <w:tcPr>
            <w:tcW w:w="1147" w:type="dxa"/>
          </w:tcPr>
          <w:p>
            <w:pPr>
              <w:pStyle w:val="TableParagraph"/>
              <w:spacing w:before="18"/>
              <w:ind w:left="62" w:right="45"/>
              <w:jc w:val="center"/>
              <w:rPr>
                <w:rFonts w:ascii="Verdana"/>
                <w:sz w:val="18"/>
              </w:rPr>
            </w:pPr>
            <w:r>
              <w:rPr>
                <w:rFonts w:ascii="Verdana"/>
                <w:sz w:val="18"/>
              </w:rPr>
              <w:t>85.7</w:t>
            </w:r>
          </w:p>
        </w:tc>
        <w:tc>
          <w:tcPr>
            <w:tcW w:w="1077" w:type="dxa"/>
          </w:tcPr>
          <w:p>
            <w:pPr>
              <w:pStyle w:val="TableParagraph"/>
              <w:spacing w:before="18"/>
              <w:ind w:left="120" w:right="106"/>
              <w:jc w:val="center"/>
              <w:rPr>
                <w:rFonts w:ascii="Verdana"/>
                <w:sz w:val="18"/>
              </w:rPr>
            </w:pPr>
            <w:r>
              <w:rPr>
                <w:rFonts w:ascii="Verdana"/>
                <w:sz w:val="18"/>
              </w:rPr>
              <w:t>55</w:t>
            </w:r>
          </w:p>
        </w:tc>
        <w:tc>
          <w:tcPr>
            <w:tcW w:w="1083" w:type="dxa"/>
          </w:tcPr>
          <w:p>
            <w:pPr>
              <w:pStyle w:val="TableParagraph"/>
              <w:spacing w:before="18"/>
              <w:ind w:left="299" w:right="280"/>
              <w:jc w:val="center"/>
              <w:rPr>
                <w:rFonts w:ascii="Verdana"/>
                <w:b/>
                <w:i/>
                <w:sz w:val="18"/>
              </w:rPr>
            </w:pPr>
            <w:r>
              <w:rPr>
                <w:rFonts w:ascii="Verdana"/>
                <w:b/>
                <w:i/>
                <w:sz w:val="18"/>
              </w:rPr>
              <w:t>16.4</w:t>
            </w:r>
          </w:p>
        </w:tc>
        <w:tc>
          <w:tcPr>
            <w:tcW w:w="1161" w:type="dxa"/>
          </w:tcPr>
          <w:p>
            <w:pPr>
              <w:pStyle w:val="TableParagraph"/>
              <w:spacing w:before="18"/>
              <w:ind w:left="19"/>
              <w:jc w:val="center"/>
              <w:rPr>
                <w:rFonts w:ascii="Verdana"/>
                <w:b/>
                <w:i/>
                <w:sz w:val="18"/>
              </w:rPr>
            </w:pPr>
            <w:r>
              <w:rPr>
                <w:rFonts w:ascii="Verdana"/>
                <w:b/>
                <w:i/>
                <w:w w:val="100"/>
                <w:sz w:val="18"/>
              </w:rPr>
              <w:t>4</w:t>
            </w:r>
          </w:p>
        </w:tc>
      </w:tr>
      <w:tr>
        <w:trPr>
          <w:trHeight w:val="384" w:hRule="atLeast"/>
        </w:trPr>
        <w:tc>
          <w:tcPr>
            <w:tcW w:w="2126" w:type="dxa"/>
          </w:tcPr>
          <w:p>
            <w:pPr>
              <w:pStyle w:val="TableParagraph"/>
              <w:spacing w:line="190" w:lineRule="atLeast" w:before="1"/>
              <w:ind w:left="68" w:right="166"/>
              <w:rPr>
                <w:rFonts w:ascii="Verdana" w:hAnsi="Verdana"/>
                <w:sz w:val="16"/>
              </w:rPr>
            </w:pPr>
            <w:r>
              <w:rPr>
                <w:rFonts w:ascii="Verdana" w:hAnsi="Verdana"/>
                <w:sz w:val="16"/>
              </w:rPr>
              <w:t>Sustitución de leña por GLP para cocción</w:t>
            </w:r>
          </w:p>
        </w:tc>
        <w:tc>
          <w:tcPr>
            <w:tcW w:w="1276" w:type="dxa"/>
          </w:tcPr>
          <w:p>
            <w:pPr>
              <w:pStyle w:val="TableParagraph"/>
              <w:spacing w:before="87"/>
              <w:ind w:left="8"/>
              <w:jc w:val="center"/>
              <w:rPr>
                <w:rFonts w:ascii="Verdana"/>
                <w:sz w:val="18"/>
              </w:rPr>
            </w:pPr>
            <w:r>
              <w:rPr>
                <w:rFonts w:ascii="Verdana"/>
                <w:w w:val="100"/>
                <w:sz w:val="18"/>
              </w:rPr>
              <w:t>-</w:t>
            </w:r>
          </w:p>
        </w:tc>
        <w:tc>
          <w:tcPr>
            <w:tcW w:w="849" w:type="dxa"/>
          </w:tcPr>
          <w:p>
            <w:pPr>
              <w:pStyle w:val="TableParagraph"/>
              <w:spacing w:before="87"/>
              <w:ind w:left="76" w:right="67"/>
              <w:jc w:val="center"/>
              <w:rPr>
                <w:rFonts w:ascii="Verdana"/>
                <w:sz w:val="18"/>
              </w:rPr>
            </w:pPr>
            <w:r>
              <w:rPr>
                <w:rFonts w:ascii="Verdana"/>
                <w:sz w:val="18"/>
              </w:rPr>
              <w:t>281</w:t>
            </w:r>
          </w:p>
        </w:tc>
        <w:tc>
          <w:tcPr>
            <w:tcW w:w="1147" w:type="dxa"/>
          </w:tcPr>
          <w:p>
            <w:pPr>
              <w:pStyle w:val="TableParagraph"/>
              <w:spacing w:before="87"/>
              <w:ind w:left="60" w:right="45"/>
              <w:jc w:val="center"/>
              <w:rPr>
                <w:rFonts w:ascii="Verdana"/>
                <w:sz w:val="18"/>
              </w:rPr>
            </w:pPr>
            <w:r>
              <w:rPr>
                <w:rFonts w:ascii="Verdana"/>
                <w:sz w:val="18"/>
              </w:rPr>
              <w:t>1,289.9</w:t>
            </w:r>
          </w:p>
        </w:tc>
        <w:tc>
          <w:tcPr>
            <w:tcW w:w="1077" w:type="dxa"/>
          </w:tcPr>
          <w:p>
            <w:pPr>
              <w:pStyle w:val="TableParagraph"/>
              <w:spacing w:before="87"/>
              <w:ind w:left="122" w:right="106"/>
              <w:jc w:val="center"/>
              <w:rPr>
                <w:rFonts w:ascii="Verdana"/>
                <w:sz w:val="18"/>
              </w:rPr>
            </w:pPr>
            <w:r>
              <w:rPr>
                <w:rFonts w:ascii="Verdana"/>
                <w:sz w:val="18"/>
              </w:rPr>
              <w:t>1,042</w:t>
            </w:r>
          </w:p>
        </w:tc>
        <w:tc>
          <w:tcPr>
            <w:tcW w:w="1083" w:type="dxa"/>
          </w:tcPr>
          <w:p>
            <w:pPr>
              <w:pStyle w:val="TableParagraph"/>
              <w:spacing w:before="87"/>
              <w:ind w:left="299" w:right="280"/>
              <w:jc w:val="center"/>
              <w:rPr>
                <w:rFonts w:ascii="Verdana"/>
                <w:b/>
                <w:i/>
                <w:sz w:val="18"/>
              </w:rPr>
            </w:pPr>
            <w:r>
              <w:rPr>
                <w:rFonts w:ascii="Verdana"/>
                <w:b/>
                <w:i/>
                <w:sz w:val="18"/>
              </w:rPr>
              <w:t>27.0</w:t>
            </w:r>
          </w:p>
        </w:tc>
        <w:tc>
          <w:tcPr>
            <w:tcW w:w="1161" w:type="dxa"/>
          </w:tcPr>
          <w:p>
            <w:pPr>
              <w:pStyle w:val="TableParagraph"/>
              <w:spacing w:before="87"/>
              <w:ind w:left="19"/>
              <w:jc w:val="center"/>
              <w:rPr>
                <w:rFonts w:ascii="Verdana"/>
                <w:b/>
                <w:i/>
                <w:sz w:val="18"/>
              </w:rPr>
            </w:pPr>
            <w:r>
              <w:rPr>
                <w:rFonts w:ascii="Verdana"/>
                <w:b/>
                <w:i/>
                <w:w w:val="100"/>
                <w:sz w:val="18"/>
              </w:rPr>
              <w:t>6</w:t>
            </w:r>
          </w:p>
        </w:tc>
      </w:tr>
      <w:tr>
        <w:trPr>
          <w:trHeight w:val="381" w:hRule="atLeast"/>
        </w:trPr>
        <w:tc>
          <w:tcPr>
            <w:tcW w:w="2126" w:type="dxa"/>
          </w:tcPr>
          <w:p>
            <w:pPr>
              <w:pStyle w:val="TableParagraph"/>
              <w:spacing w:line="189" w:lineRule="exact"/>
              <w:ind w:left="68"/>
              <w:rPr>
                <w:rFonts w:ascii="Verdana"/>
                <w:sz w:val="16"/>
              </w:rPr>
            </w:pPr>
            <w:r>
              <w:rPr>
                <w:rFonts w:ascii="Verdana"/>
                <w:sz w:val="16"/>
              </w:rPr>
              <w:t>Calentamiento de agua</w:t>
            </w:r>
          </w:p>
          <w:p>
            <w:pPr>
              <w:pStyle w:val="TableParagraph"/>
              <w:spacing w:line="168" w:lineRule="exact" w:before="4"/>
              <w:ind w:left="68"/>
              <w:rPr>
                <w:rFonts w:ascii="Verdana" w:hAnsi="Verdana"/>
                <w:sz w:val="16"/>
              </w:rPr>
            </w:pPr>
            <w:r>
              <w:rPr>
                <w:rFonts w:ascii="Verdana" w:hAnsi="Verdana"/>
                <w:sz w:val="16"/>
              </w:rPr>
              <w:t>con energía solar</w:t>
            </w:r>
          </w:p>
        </w:tc>
        <w:tc>
          <w:tcPr>
            <w:tcW w:w="1276" w:type="dxa"/>
          </w:tcPr>
          <w:p>
            <w:pPr>
              <w:pStyle w:val="TableParagraph"/>
              <w:spacing w:before="83"/>
              <w:ind w:left="8"/>
              <w:jc w:val="center"/>
              <w:rPr>
                <w:rFonts w:ascii="Verdana"/>
                <w:sz w:val="18"/>
              </w:rPr>
            </w:pPr>
            <w:r>
              <w:rPr>
                <w:rFonts w:ascii="Verdana"/>
                <w:w w:val="100"/>
                <w:sz w:val="18"/>
              </w:rPr>
              <w:t>-</w:t>
            </w:r>
          </w:p>
        </w:tc>
        <w:tc>
          <w:tcPr>
            <w:tcW w:w="849" w:type="dxa"/>
          </w:tcPr>
          <w:p>
            <w:pPr>
              <w:pStyle w:val="TableParagraph"/>
              <w:spacing w:before="83"/>
              <w:ind w:left="9"/>
              <w:jc w:val="center"/>
              <w:rPr>
                <w:rFonts w:ascii="Verdana"/>
                <w:sz w:val="18"/>
              </w:rPr>
            </w:pPr>
            <w:r>
              <w:rPr>
                <w:rFonts w:ascii="Verdana"/>
                <w:w w:val="100"/>
                <w:sz w:val="18"/>
              </w:rPr>
              <w:t>6</w:t>
            </w:r>
          </w:p>
        </w:tc>
        <w:tc>
          <w:tcPr>
            <w:tcW w:w="1147" w:type="dxa"/>
          </w:tcPr>
          <w:p>
            <w:pPr>
              <w:pStyle w:val="TableParagraph"/>
              <w:spacing w:before="83"/>
              <w:ind w:left="62" w:right="45"/>
              <w:jc w:val="center"/>
              <w:rPr>
                <w:rFonts w:ascii="Verdana"/>
                <w:sz w:val="18"/>
              </w:rPr>
            </w:pPr>
            <w:r>
              <w:rPr>
                <w:rFonts w:ascii="Verdana"/>
                <w:sz w:val="18"/>
              </w:rPr>
              <w:t>45.9</w:t>
            </w:r>
          </w:p>
        </w:tc>
        <w:tc>
          <w:tcPr>
            <w:tcW w:w="1077" w:type="dxa"/>
          </w:tcPr>
          <w:p>
            <w:pPr>
              <w:pStyle w:val="TableParagraph"/>
              <w:spacing w:before="83"/>
              <w:ind w:left="119" w:right="106"/>
              <w:jc w:val="center"/>
              <w:rPr>
                <w:rFonts w:ascii="Verdana"/>
                <w:sz w:val="18"/>
              </w:rPr>
            </w:pPr>
            <w:r>
              <w:rPr>
                <w:rFonts w:ascii="Verdana"/>
                <w:sz w:val="18"/>
              </w:rPr>
              <w:t>44</w:t>
            </w:r>
          </w:p>
        </w:tc>
        <w:tc>
          <w:tcPr>
            <w:tcW w:w="1083" w:type="dxa"/>
          </w:tcPr>
          <w:p>
            <w:pPr>
              <w:pStyle w:val="TableParagraph"/>
              <w:spacing w:before="83"/>
              <w:ind w:left="299" w:right="280"/>
              <w:jc w:val="center"/>
              <w:rPr>
                <w:rFonts w:ascii="Verdana"/>
                <w:b/>
                <w:i/>
                <w:sz w:val="18"/>
              </w:rPr>
            </w:pPr>
            <w:r>
              <w:rPr>
                <w:rFonts w:ascii="Verdana"/>
                <w:b/>
                <w:i/>
                <w:sz w:val="18"/>
              </w:rPr>
              <w:t>13.7</w:t>
            </w:r>
          </w:p>
        </w:tc>
        <w:tc>
          <w:tcPr>
            <w:tcW w:w="1161" w:type="dxa"/>
          </w:tcPr>
          <w:p>
            <w:pPr>
              <w:pStyle w:val="TableParagraph"/>
              <w:spacing w:before="83"/>
              <w:ind w:left="19"/>
              <w:jc w:val="center"/>
              <w:rPr>
                <w:rFonts w:ascii="Verdana"/>
                <w:b/>
                <w:i/>
                <w:sz w:val="18"/>
              </w:rPr>
            </w:pPr>
            <w:r>
              <w:rPr>
                <w:rFonts w:ascii="Verdana"/>
                <w:b/>
                <w:i/>
                <w:w w:val="100"/>
                <w:sz w:val="18"/>
              </w:rPr>
              <w:t>6</w:t>
            </w:r>
          </w:p>
        </w:tc>
      </w:tr>
      <w:tr>
        <w:trPr>
          <w:trHeight w:val="384" w:hRule="atLeast"/>
        </w:trPr>
        <w:tc>
          <w:tcPr>
            <w:tcW w:w="2126" w:type="dxa"/>
          </w:tcPr>
          <w:p>
            <w:pPr>
              <w:pStyle w:val="TableParagraph"/>
              <w:spacing w:line="190" w:lineRule="atLeast" w:before="1"/>
              <w:ind w:left="68" w:right="698"/>
              <w:rPr>
                <w:rFonts w:ascii="Verdana" w:hAnsi="Verdana"/>
                <w:sz w:val="16"/>
              </w:rPr>
            </w:pPr>
            <w:r>
              <w:rPr>
                <w:rFonts w:ascii="Verdana" w:hAnsi="Verdana"/>
                <w:sz w:val="16"/>
              </w:rPr>
              <w:t>Conservación de alimentos</w:t>
            </w:r>
          </w:p>
        </w:tc>
        <w:tc>
          <w:tcPr>
            <w:tcW w:w="1276" w:type="dxa"/>
          </w:tcPr>
          <w:p>
            <w:pPr>
              <w:pStyle w:val="TableParagraph"/>
              <w:spacing w:before="84"/>
              <w:ind w:left="90" w:right="78"/>
              <w:jc w:val="center"/>
              <w:rPr>
                <w:rFonts w:ascii="Verdana"/>
                <w:sz w:val="18"/>
              </w:rPr>
            </w:pPr>
            <w:r>
              <w:rPr>
                <w:rFonts w:ascii="Verdana"/>
                <w:sz w:val="18"/>
              </w:rPr>
              <w:t>180</w:t>
            </w:r>
          </w:p>
        </w:tc>
        <w:tc>
          <w:tcPr>
            <w:tcW w:w="849" w:type="dxa"/>
          </w:tcPr>
          <w:p>
            <w:pPr>
              <w:pStyle w:val="TableParagraph"/>
              <w:spacing w:before="84"/>
              <w:ind w:left="76" w:right="67"/>
              <w:jc w:val="center"/>
              <w:rPr>
                <w:rFonts w:ascii="Verdana"/>
                <w:sz w:val="18"/>
              </w:rPr>
            </w:pPr>
            <w:r>
              <w:rPr>
                <w:rFonts w:ascii="Verdana"/>
                <w:sz w:val="18"/>
              </w:rPr>
              <w:t>16</w:t>
            </w:r>
          </w:p>
        </w:tc>
        <w:tc>
          <w:tcPr>
            <w:tcW w:w="1147" w:type="dxa"/>
          </w:tcPr>
          <w:p>
            <w:pPr>
              <w:pStyle w:val="TableParagraph"/>
              <w:spacing w:before="84"/>
              <w:ind w:left="62" w:right="45"/>
              <w:jc w:val="center"/>
              <w:rPr>
                <w:rFonts w:ascii="Verdana"/>
                <w:sz w:val="18"/>
              </w:rPr>
            </w:pPr>
            <w:r>
              <w:rPr>
                <w:rFonts w:ascii="Verdana"/>
                <w:sz w:val="18"/>
              </w:rPr>
              <w:t>118.6</w:t>
            </w:r>
          </w:p>
        </w:tc>
        <w:tc>
          <w:tcPr>
            <w:tcW w:w="1077" w:type="dxa"/>
          </w:tcPr>
          <w:p>
            <w:pPr>
              <w:pStyle w:val="TableParagraph"/>
              <w:spacing w:before="84"/>
              <w:ind w:left="120" w:right="106"/>
              <w:jc w:val="center"/>
              <w:rPr>
                <w:rFonts w:ascii="Verdana"/>
                <w:sz w:val="18"/>
              </w:rPr>
            </w:pPr>
            <w:r>
              <w:rPr>
                <w:rFonts w:ascii="Verdana"/>
                <w:sz w:val="18"/>
              </w:rPr>
              <w:t>61</w:t>
            </w:r>
          </w:p>
        </w:tc>
        <w:tc>
          <w:tcPr>
            <w:tcW w:w="1083" w:type="dxa"/>
          </w:tcPr>
          <w:p>
            <w:pPr>
              <w:pStyle w:val="TableParagraph"/>
              <w:spacing w:before="84"/>
              <w:ind w:left="299" w:right="280"/>
              <w:jc w:val="center"/>
              <w:rPr>
                <w:rFonts w:ascii="Verdana"/>
                <w:b/>
                <w:i/>
                <w:sz w:val="18"/>
              </w:rPr>
            </w:pPr>
            <w:r>
              <w:rPr>
                <w:rFonts w:ascii="Verdana"/>
                <w:b/>
                <w:i/>
                <w:sz w:val="18"/>
              </w:rPr>
              <w:t>26.2</w:t>
            </w:r>
          </w:p>
        </w:tc>
        <w:tc>
          <w:tcPr>
            <w:tcW w:w="1161" w:type="dxa"/>
          </w:tcPr>
          <w:p>
            <w:pPr>
              <w:pStyle w:val="TableParagraph"/>
              <w:spacing w:before="84"/>
              <w:ind w:left="19"/>
              <w:jc w:val="center"/>
              <w:rPr>
                <w:rFonts w:ascii="Verdana"/>
                <w:b/>
                <w:i/>
                <w:sz w:val="18"/>
              </w:rPr>
            </w:pPr>
            <w:r>
              <w:rPr>
                <w:rFonts w:ascii="Verdana"/>
                <w:b/>
                <w:i/>
                <w:w w:val="100"/>
                <w:sz w:val="18"/>
              </w:rPr>
              <w:t>4</w:t>
            </w:r>
          </w:p>
        </w:tc>
      </w:tr>
      <w:tr>
        <w:trPr>
          <w:trHeight w:val="379" w:hRule="atLeast"/>
        </w:trPr>
        <w:tc>
          <w:tcPr>
            <w:tcW w:w="2126" w:type="dxa"/>
          </w:tcPr>
          <w:p>
            <w:pPr>
              <w:pStyle w:val="TableParagraph"/>
              <w:spacing w:line="194" w:lineRule="exact" w:before="3"/>
              <w:ind w:left="68" w:right="510"/>
              <w:rPr>
                <w:rFonts w:ascii="Verdana"/>
                <w:sz w:val="16"/>
              </w:rPr>
            </w:pPr>
            <w:r>
              <w:rPr>
                <w:rFonts w:ascii="Verdana"/>
                <w:sz w:val="16"/>
              </w:rPr>
              <w:t>Acondicionamiento ambiental</w:t>
            </w:r>
          </w:p>
        </w:tc>
        <w:tc>
          <w:tcPr>
            <w:tcW w:w="1276" w:type="dxa"/>
          </w:tcPr>
          <w:p>
            <w:pPr>
              <w:pStyle w:val="TableParagraph"/>
              <w:spacing w:before="80"/>
              <w:ind w:left="90" w:right="78"/>
              <w:jc w:val="center"/>
              <w:rPr>
                <w:rFonts w:ascii="Verdana"/>
                <w:sz w:val="18"/>
              </w:rPr>
            </w:pPr>
            <w:r>
              <w:rPr>
                <w:rFonts w:ascii="Verdana"/>
                <w:sz w:val="18"/>
              </w:rPr>
              <w:t>500</w:t>
            </w:r>
          </w:p>
        </w:tc>
        <w:tc>
          <w:tcPr>
            <w:tcW w:w="849" w:type="dxa"/>
          </w:tcPr>
          <w:p>
            <w:pPr>
              <w:pStyle w:val="TableParagraph"/>
              <w:spacing w:before="80"/>
              <w:ind w:left="76" w:right="67"/>
              <w:jc w:val="center"/>
              <w:rPr>
                <w:rFonts w:ascii="Verdana"/>
                <w:sz w:val="18"/>
              </w:rPr>
            </w:pPr>
            <w:r>
              <w:rPr>
                <w:rFonts w:ascii="Verdana"/>
                <w:sz w:val="18"/>
              </w:rPr>
              <w:t>43</w:t>
            </w:r>
          </w:p>
        </w:tc>
        <w:tc>
          <w:tcPr>
            <w:tcW w:w="1147" w:type="dxa"/>
          </w:tcPr>
          <w:p>
            <w:pPr>
              <w:pStyle w:val="TableParagraph"/>
              <w:spacing w:before="80"/>
              <w:ind w:left="62" w:right="45"/>
              <w:jc w:val="center"/>
              <w:rPr>
                <w:rFonts w:ascii="Verdana"/>
                <w:sz w:val="18"/>
              </w:rPr>
            </w:pPr>
            <w:r>
              <w:rPr>
                <w:rFonts w:ascii="Verdana"/>
                <w:sz w:val="18"/>
              </w:rPr>
              <w:t>329.5</w:t>
            </w:r>
          </w:p>
        </w:tc>
        <w:tc>
          <w:tcPr>
            <w:tcW w:w="1077" w:type="dxa"/>
          </w:tcPr>
          <w:p>
            <w:pPr>
              <w:pStyle w:val="TableParagraph"/>
              <w:spacing w:before="80"/>
              <w:ind w:left="120" w:right="106"/>
              <w:jc w:val="center"/>
              <w:rPr>
                <w:rFonts w:ascii="Verdana"/>
                <w:sz w:val="18"/>
              </w:rPr>
            </w:pPr>
            <w:r>
              <w:rPr>
                <w:rFonts w:ascii="Verdana"/>
                <w:sz w:val="18"/>
              </w:rPr>
              <w:t>187</w:t>
            </w:r>
          </w:p>
        </w:tc>
        <w:tc>
          <w:tcPr>
            <w:tcW w:w="1083" w:type="dxa"/>
          </w:tcPr>
          <w:p>
            <w:pPr>
              <w:pStyle w:val="TableParagraph"/>
              <w:spacing w:before="80"/>
              <w:ind w:left="299" w:right="280"/>
              <w:jc w:val="center"/>
              <w:rPr>
                <w:rFonts w:ascii="Verdana"/>
                <w:b/>
                <w:i/>
                <w:sz w:val="18"/>
              </w:rPr>
            </w:pPr>
            <w:r>
              <w:rPr>
                <w:rFonts w:ascii="Verdana"/>
                <w:b/>
                <w:i/>
                <w:sz w:val="18"/>
              </w:rPr>
              <w:t>23.0</w:t>
            </w:r>
          </w:p>
        </w:tc>
        <w:tc>
          <w:tcPr>
            <w:tcW w:w="1161" w:type="dxa"/>
          </w:tcPr>
          <w:p>
            <w:pPr>
              <w:pStyle w:val="TableParagraph"/>
              <w:spacing w:before="80"/>
              <w:ind w:left="19"/>
              <w:jc w:val="center"/>
              <w:rPr>
                <w:rFonts w:ascii="Verdana"/>
                <w:b/>
                <w:i/>
                <w:sz w:val="18"/>
              </w:rPr>
            </w:pPr>
            <w:r>
              <w:rPr>
                <w:rFonts w:ascii="Verdana"/>
                <w:b/>
                <w:i/>
                <w:w w:val="100"/>
                <w:sz w:val="18"/>
              </w:rPr>
              <w:t>6</w:t>
            </w:r>
          </w:p>
        </w:tc>
      </w:tr>
      <w:tr>
        <w:trPr>
          <w:trHeight w:val="420" w:hRule="atLeast"/>
        </w:trPr>
        <w:tc>
          <w:tcPr>
            <w:tcW w:w="2126" w:type="dxa"/>
          </w:tcPr>
          <w:p>
            <w:pPr>
              <w:pStyle w:val="TableParagraph"/>
              <w:spacing w:line="184" w:lineRule="exact"/>
              <w:ind w:left="128" w:right="118"/>
              <w:jc w:val="center"/>
              <w:rPr>
                <w:rFonts w:ascii="Verdana"/>
                <w:b/>
                <w:sz w:val="16"/>
              </w:rPr>
            </w:pPr>
            <w:r>
              <w:rPr>
                <w:rFonts w:ascii="Verdana"/>
                <w:b/>
                <w:sz w:val="16"/>
              </w:rPr>
              <w:t>COMERCIOS Y</w:t>
            </w:r>
          </w:p>
          <w:p>
            <w:pPr>
              <w:pStyle w:val="TableParagraph"/>
              <w:ind w:left="133" w:right="118"/>
              <w:jc w:val="center"/>
              <w:rPr>
                <w:rFonts w:ascii="Verdana"/>
                <w:b/>
                <w:sz w:val="16"/>
              </w:rPr>
            </w:pPr>
            <w:r>
              <w:rPr>
                <w:rFonts w:ascii="Verdana"/>
                <w:b/>
                <w:sz w:val="16"/>
              </w:rPr>
              <w:t>SERVICIOS (TOTAL)</w:t>
            </w:r>
          </w:p>
        </w:tc>
        <w:tc>
          <w:tcPr>
            <w:tcW w:w="1276" w:type="dxa"/>
          </w:tcPr>
          <w:p>
            <w:pPr>
              <w:pStyle w:val="TableParagraph"/>
              <w:spacing w:line="208" w:lineRule="exact"/>
              <w:ind w:left="86" w:right="80"/>
              <w:jc w:val="center"/>
              <w:rPr>
                <w:rFonts w:ascii="Verdana"/>
                <w:b/>
                <w:sz w:val="18"/>
              </w:rPr>
            </w:pPr>
            <w:r>
              <w:rPr>
                <w:rFonts w:ascii="Verdana"/>
                <w:b/>
                <w:sz w:val="18"/>
              </w:rPr>
              <w:t>230</w:t>
            </w:r>
          </w:p>
        </w:tc>
        <w:tc>
          <w:tcPr>
            <w:tcW w:w="849" w:type="dxa"/>
          </w:tcPr>
          <w:p>
            <w:pPr>
              <w:pStyle w:val="TableParagraph"/>
              <w:spacing w:line="208" w:lineRule="exact"/>
              <w:ind w:left="72" w:right="67"/>
              <w:jc w:val="center"/>
              <w:rPr>
                <w:rFonts w:ascii="Verdana"/>
                <w:b/>
                <w:sz w:val="18"/>
              </w:rPr>
            </w:pPr>
            <w:r>
              <w:rPr>
                <w:rFonts w:ascii="Verdana"/>
                <w:b/>
                <w:sz w:val="18"/>
              </w:rPr>
              <w:t>34</w:t>
            </w:r>
          </w:p>
        </w:tc>
        <w:tc>
          <w:tcPr>
            <w:tcW w:w="1147" w:type="dxa"/>
          </w:tcPr>
          <w:p>
            <w:pPr>
              <w:pStyle w:val="TableParagraph"/>
              <w:spacing w:line="208" w:lineRule="exact"/>
              <w:ind w:left="58" w:right="45"/>
              <w:jc w:val="center"/>
              <w:rPr>
                <w:rFonts w:ascii="Verdana"/>
                <w:b/>
                <w:sz w:val="18"/>
              </w:rPr>
            </w:pPr>
            <w:r>
              <w:rPr>
                <w:rFonts w:ascii="Verdana"/>
                <w:b/>
                <w:sz w:val="18"/>
              </w:rPr>
              <w:t>211.2</w:t>
            </w:r>
          </w:p>
        </w:tc>
        <w:tc>
          <w:tcPr>
            <w:tcW w:w="1077" w:type="dxa"/>
          </w:tcPr>
          <w:p>
            <w:pPr>
              <w:pStyle w:val="TableParagraph"/>
              <w:spacing w:line="208" w:lineRule="exact"/>
              <w:ind w:left="118" w:right="106"/>
              <w:jc w:val="center"/>
              <w:rPr>
                <w:rFonts w:ascii="Verdana"/>
                <w:b/>
                <w:sz w:val="18"/>
              </w:rPr>
            </w:pPr>
            <w:r>
              <w:rPr>
                <w:rFonts w:ascii="Verdana"/>
                <w:b/>
                <w:sz w:val="18"/>
              </w:rPr>
              <w:t>239</w:t>
            </w:r>
          </w:p>
        </w:tc>
        <w:tc>
          <w:tcPr>
            <w:tcW w:w="1083" w:type="dxa"/>
          </w:tcPr>
          <w:p>
            <w:pPr>
              <w:pStyle w:val="TableParagraph"/>
              <w:spacing w:line="208" w:lineRule="exact"/>
              <w:ind w:left="299" w:right="280"/>
              <w:jc w:val="center"/>
              <w:rPr>
                <w:rFonts w:ascii="Verdana"/>
                <w:b/>
                <w:i/>
                <w:sz w:val="18"/>
              </w:rPr>
            </w:pPr>
            <w:r>
              <w:rPr>
                <w:rFonts w:ascii="Verdana"/>
                <w:b/>
                <w:i/>
                <w:sz w:val="18"/>
              </w:rPr>
              <w:t>16</w:t>
            </w:r>
          </w:p>
        </w:tc>
        <w:tc>
          <w:tcPr>
            <w:tcW w:w="1161" w:type="dxa"/>
          </w:tcPr>
          <w:p>
            <w:pPr>
              <w:pStyle w:val="TableParagraph"/>
              <w:spacing w:line="208" w:lineRule="exact"/>
              <w:ind w:left="15"/>
              <w:jc w:val="center"/>
              <w:rPr>
                <w:rFonts w:ascii="Verdana"/>
                <w:b/>
                <w:i/>
                <w:sz w:val="18"/>
              </w:rPr>
            </w:pPr>
            <w:r>
              <w:rPr>
                <w:rFonts w:ascii="Verdana"/>
                <w:b/>
                <w:i/>
                <w:w w:val="100"/>
                <w:sz w:val="18"/>
              </w:rPr>
              <w:t>-</w:t>
            </w:r>
          </w:p>
        </w:tc>
      </w:tr>
      <w:tr>
        <w:trPr>
          <w:trHeight w:val="266" w:hRule="atLeast"/>
        </w:trPr>
        <w:tc>
          <w:tcPr>
            <w:tcW w:w="2126" w:type="dxa"/>
          </w:tcPr>
          <w:p>
            <w:pPr>
              <w:pStyle w:val="TableParagraph"/>
              <w:spacing w:before="5"/>
              <w:ind w:left="68"/>
              <w:rPr>
                <w:rFonts w:ascii="Verdana"/>
                <w:sz w:val="16"/>
              </w:rPr>
            </w:pPr>
            <w:r>
              <w:rPr>
                <w:rFonts w:ascii="Verdana"/>
                <w:sz w:val="16"/>
              </w:rPr>
              <w:t>Aire acondicionado</w:t>
            </w:r>
          </w:p>
        </w:tc>
        <w:tc>
          <w:tcPr>
            <w:tcW w:w="1276" w:type="dxa"/>
          </w:tcPr>
          <w:p>
            <w:pPr>
              <w:pStyle w:val="TableParagraph"/>
              <w:spacing w:before="4"/>
              <w:ind w:left="90" w:right="78"/>
              <w:jc w:val="center"/>
              <w:rPr>
                <w:rFonts w:ascii="Verdana"/>
                <w:sz w:val="18"/>
              </w:rPr>
            </w:pPr>
            <w:r>
              <w:rPr>
                <w:rFonts w:ascii="Verdana"/>
                <w:sz w:val="18"/>
              </w:rPr>
              <w:t>90</w:t>
            </w:r>
          </w:p>
        </w:tc>
        <w:tc>
          <w:tcPr>
            <w:tcW w:w="849" w:type="dxa"/>
          </w:tcPr>
          <w:p>
            <w:pPr>
              <w:pStyle w:val="TableParagraph"/>
              <w:spacing w:before="4"/>
              <w:ind w:left="9"/>
              <w:jc w:val="center"/>
              <w:rPr>
                <w:rFonts w:ascii="Verdana"/>
                <w:sz w:val="18"/>
              </w:rPr>
            </w:pPr>
            <w:r>
              <w:rPr>
                <w:rFonts w:ascii="Verdana"/>
                <w:w w:val="100"/>
                <w:sz w:val="18"/>
              </w:rPr>
              <w:t>8</w:t>
            </w:r>
          </w:p>
        </w:tc>
        <w:tc>
          <w:tcPr>
            <w:tcW w:w="1147" w:type="dxa"/>
          </w:tcPr>
          <w:p>
            <w:pPr>
              <w:pStyle w:val="TableParagraph"/>
              <w:spacing w:before="2"/>
              <w:ind w:left="60" w:right="45"/>
              <w:jc w:val="center"/>
              <w:rPr>
                <w:sz w:val="18"/>
              </w:rPr>
            </w:pPr>
            <w:r>
              <w:rPr>
                <w:sz w:val="18"/>
              </w:rPr>
              <w:t>59.3</w:t>
            </w:r>
          </w:p>
        </w:tc>
        <w:tc>
          <w:tcPr>
            <w:tcW w:w="1077" w:type="dxa"/>
          </w:tcPr>
          <w:p>
            <w:pPr>
              <w:pStyle w:val="TableParagraph"/>
              <w:spacing w:before="4"/>
              <w:ind w:left="118" w:right="106"/>
              <w:jc w:val="center"/>
              <w:rPr>
                <w:rFonts w:ascii="Verdana"/>
                <w:sz w:val="18"/>
              </w:rPr>
            </w:pPr>
            <w:r>
              <w:rPr>
                <w:rFonts w:ascii="Verdana"/>
                <w:sz w:val="18"/>
              </w:rPr>
              <w:t>44</w:t>
            </w:r>
          </w:p>
        </w:tc>
        <w:tc>
          <w:tcPr>
            <w:tcW w:w="1083" w:type="dxa"/>
          </w:tcPr>
          <w:p>
            <w:pPr>
              <w:pStyle w:val="TableParagraph"/>
              <w:spacing w:before="4"/>
              <w:ind w:left="299" w:right="280"/>
              <w:jc w:val="center"/>
              <w:rPr>
                <w:rFonts w:ascii="Verdana"/>
                <w:b/>
                <w:i/>
                <w:sz w:val="18"/>
              </w:rPr>
            </w:pPr>
            <w:r>
              <w:rPr>
                <w:rFonts w:ascii="Verdana"/>
                <w:b/>
                <w:i/>
                <w:sz w:val="18"/>
              </w:rPr>
              <w:t>17.7</w:t>
            </w:r>
          </w:p>
        </w:tc>
        <w:tc>
          <w:tcPr>
            <w:tcW w:w="1161" w:type="dxa"/>
          </w:tcPr>
          <w:p>
            <w:pPr>
              <w:pStyle w:val="TableParagraph"/>
              <w:spacing w:before="4"/>
              <w:ind w:left="18"/>
              <w:jc w:val="center"/>
              <w:rPr>
                <w:rFonts w:ascii="Verdana"/>
                <w:b/>
                <w:i/>
                <w:sz w:val="18"/>
              </w:rPr>
            </w:pPr>
            <w:r>
              <w:rPr>
                <w:rFonts w:ascii="Verdana"/>
                <w:b/>
                <w:i/>
                <w:w w:val="100"/>
                <w:sz w:val="18"/>
              </w:rPr>
              <w:t>6</w:t>
            </w:r>
          </w:p>
        </w:tc>
      </w:tr>
      <w:tr>
        <w:trPr>
          <w:trHeight w:val="266" w:hRule="atLeast"/>
        </w:trPr>
        <w:tc>
          <w:tcPr>
            <w:tcW w:w="2126" w:type="dxa"/>
          </w:tcPr>
          <w:p>
            <w:pPr>
              <w:pStyle w:val="TableParagraph"/>
              <w:spacing w:line="169" w:lineRule="exact" w:before="78"/>
              <w:ind w:left="68"/>
              <w:rPr>
                <w:rFonts w:ascii="Verdana" w:hAnsi="Verdana"/>
                <w:sz w:val="16"/>
              </w:rPr>
            </w:pPr>
            <w:r>
              <w:rPr>
                <w:rFonts w:ascii="Verdana" w:hAnsi="Verdana"/>
                <w:sz w:val="16"/>
              </w:rPr>
              <w:t>Iluminación</w:t>
            </w:r>
          </w:p>
        </w:tc>
        <w:tc>
          <w:tcPr>
            <w:tcW w:w="1276" w:type="dxa"/>
          </w:tcPr>
          <w:p>
            <w:pPr>
              <w:pStyle w:val="TableParagraph"/>
              <w:spacing w:before="27"/>
              <w:ind w:left="90" w:right="78"/>
              <w:jc w:val="center"/>
              <w:rPr>
                <w:rFonts w:ascii="Verdana"/>
                <w:sz w:val="18"/>
              </w:rPr>
            </w:pPr>
            <w:r>
              <w:rPr>
                <w:rFonts w:ascii="Verdana"/>
                <w:sz w:val="18"/>
              </w:rPr>
              <w:t>80</w:t>
            </w:r>
          </w:p>
        </w:tc>
        <w:tc>
          <w:tcPr>
            <w:tcW w:w="849" w:type="dxa"/>
          </w:tcPr>
          <w:p>
            <w:pPr>
              <w:pStyle w:val="TableParagraph"/>
              <w:spacing w:before="27"/>
              <w:ind w:left="9"/>
              <w:jc w:val="center"/>
              <w:rPr>
                <w:rFonts w:ascii="Verdana"/>
                <w:sz w:val="18"/>
              </w:rPr>
            </w:pPr>
            <w:r>
              <w:rPr>
                <w:rFonts w:ascii="Verdana"/>
                <w:w w:val="100"/>
                <w:sz w:val="18"/>
              </w:rPr>
              <w:t>7</w:t>
            </w:r>
          </w:p>
        </w:tc>
        <w:tc>
          <w:tcPr>
            <w:tcW w:w="1147" w:type="dxa"/>
          </w:tcPr>
          <w:p>
            <w:pPr>
              <w:pStyle w:val="TableParagraph"/>
              <w:spacing w:before="27"/>
              <w:ind w:left="62" w:right="45"/>
              <w:jc w:val="center"/>
              <w:rPr>
                <w:rFonts w:ascii="Verdana"/>
                <w:sz w:val="18"/>
              </w:rPr>
            </w:pPr>
            <w:r>
              <w:rPr>
                <w:rFonts w:ascii="Verdana"/>
                <w:sz w:val="18"/>
              </w:rPr>
              <w:t>92.7</w:t>
            </w:r>
          </w:p>
        </w:tc>
        <w:tc>
          <w:tcPr>
            <w:tcW w:w="1077" w:type="dxa"/>
          </w:tcPr>
          <w:p>
            <w:pPr>
              <w:pStyle w:val="TableParagraph"/>
              <w:spacing w:before="27"/>
              <w:ind w:left="120" w:right="106"/>
              <w:jc w:val="center"/>
              <w:rPr>
                <w:rFonts w:ascii="Verdana"/>
                <w:sz w:val="18"/>
              </w:rPr>
            </w:pPr>
            <w:r>
              <w:rPr>
                <w:rFonts w:ascii="Verdana"/>
                <w:sz w:val="18"/>
              </w:rPr>
              <w:t>13</w:t>
            </w:r>
          </w:p>
        </w:tc>
        <w:tc>
          <w:tcPr>
            <w:tcW w:w="1083" w:type="dxa"/>
          </w:tcPr>
          <w:p>
            <w:pPr>
              <w:pStyle w:val="TableParagraph"/>
              <w:spacing w:before="27"/>
              <w:ind w:left="299" w:right="280"/>
              <w:jc w:val="center"/>
              <w:rPr>
                <w:rFonts w:ascii="Verdana"/>
                <w:b/>
                <w:i/>
                <w:sz w:val="18"/>
              </w:rPr>
            </w:pPr>
            <w:r>
              <w:rPr>
                <w:rFonts w:ascii="Verdana"/>
                <w:b/>
                <w:i/>
                <w:sz w:val="18"/>
              </w:rPr>
              <w:t>54.0</w:t>
            </w:r>
          </w:p>
        </w:tc>
        <w:tc>
          <w:tcPr>
            <w:tcW w:w="1161" w:type="dxa"/>
          </w:tcPr>
          <w:p>
            <w:pPr>
              <w:pStyle w:val="TableParagraph"/>
              <w:spacing w:before="27"/>
              <w:ind w:left="18"/>
              <w:jc w:val="center"/>
              <w:rPr>
                <w:rFonts w:ascii="Verdana"/>
                <w:b/>
                <w:i/>
                <w:sz w:val="18"/>
              </w:rPr>
            </w:pPr>
            <w:r>
              <w:rPr>
                <w:rFonts w:ascii="Verdana"/>
                <w:b/>
                <w:i/>
                <w:w w:val="100"/>
                <w:sz w:val="18"/>
              </w:rPr>
              <w:t>4</w:t>
            </w:r>
          </w:p>
        </w:tc>
      </w:tr>
      <w:tr>
        <w:trPr>
          <w:trHeight w:val="264" w:hRule="atLeast"/>
        </w:trPr>
        <w:tc>
          <w:tcPr>
            <w:tcW w:w="2126" w:type="dxa"/>
          </w:tcPr>
          <w:p>
            <w:pPr>
              <w:pStyle w:val="TableParagraph"/>
              <w:spacing w:line="168" w:lineRule="exact" w:before="77"/>
              <w:ind w:left="68"/>
              <w:rPr>
                <w:rFonts w:ascii="Verdana"/>
                <w:sz w:val="16"/>
              </w:rPr>
            </w:pPr>
            <w:r>
              <w:rPr>
                <w:rFonts w:ascii="Verdana"/>
                <w:sz w:val="16"/>
              </w:rPr>
              <w:t>Calentamiento de agua</w:t>
            </w:r>
          </w:p>
        </w:tc>
        <w:tc>
          <w:tcPr>
            <w:tcW w:w="1276" w:type="dxa"/>
          </w:tcPr>
          <w:p>
            <w:pPr>
              <w:pStyle w:val="TableParagraph"/>
              <w:spacing w:line="216" w:lineRule="exact" w:before="28"/>
              <w:ind w:left="8"/>
              <w:jc w:val="center"/>
              <w:rPr>
                <w:rFonts w:ascii="Verdana"/>
                <w:sz w:val="18"/>
              </w:rPr>
            </w:pPr>
            <w:r>
              <w:rPr>
                <w:rFonts w:ascii="Verdana"/>
                <w:w w:val="100"/>
                <w:sz w:val="18"/>
              </w:rPr>
              <w:t>-</w:t>
            </w:r>
          </w:p>
        </w:tc>
        <w:tc>
          <w:tcPr>
            <w:tcW w:w="849" w:type="dxa"/>
          </w:tcPr>
          <w:p>
            <w:pPr>
              <w:pStyle w:val="TableParagraph"/>
              <w:spacing w:line="216" w:lineRule="exact" w:before="28"/>
              <w:ind w:left="76" w:right="67"/>
              <w:jc w:val="center"/>
              <w:rPr>
                <w:rFonts w:ascii="Verdana"/>
                <w:sz w:val="18"/>
              </w:rPr>
            </w:pPr>
            <w:r>
              <w:rPr>
                <w:rFonts w:ascii="Verdana"/>
                <w:sz w:val="18"/>
              </w:rPr>
              <w:t>19</w:t>
            </w:r>
          </w:p>
        </w:tc>
        <w:tc>
          <w:tcPr>
            <w:tcW w:w="1147" w:type="dxa"/>
          </w:tcPr>
          <w:p>
            <w:pPr>
              <w:pStyle w:val="TableParagraph"/>
              <w:spacing w:line="216" w:lineRule="exact" w:before="28"/>
              <w:ind w:left="62" w:right="45"/>
              <w:jc w:val="center"/>
              <w:rPr>
                <w:rFonts w:ascii="Verdana"/>
                <w:sz w:val="18"/>
              </w:rPr>
            </w:pPr>
            <w:r>
              <w:rPr>
                <w:rFonts w:ascii="Verdana"/>
                <w:sz w:val="18"/>
              </w:rPr>
              <w:t>59.2</w:t>
            </w:r>
          </w:p>
        </w:tc>
        <w:tc>
          <w:tcPr>
            <w:tcW w:w="1077" w:type="dxa"/>
          </w:tcPr>
          <w:p>
            <w:pPr>
              <w:pStyle w:val="TableParagraph"/>
              <w:spacing w:line="216" w:lineRule="exact" w:before="28"/>
              <w:ind w:left="119" w:right="106"/>
              <w:jc w:val="center"/>
              <w:rPr>
                <w:rFonts w:ascii="Verdana"/>
                <w:sz w:val="18"/>
              </w:rPr>
            </w:pPr>
            <w:r>
              <w:rPr>
                <w:rFonts w:ascii="Verdana"/>
                <w:sz w:val="18"/>
              </w:rPr>
              <w:t>29</w:t>
            </w:r>
          </w:p>
        </w:tc>
        <w:tc>
          <w:tcPr>
            <w:tcW w:w="1083" w:type="dxa"/>
          </w:tcPr>
          <w:p>
            <w:pPr>
              <w:pStyle w:val="TableParagraph"/>
              <w:spacing w:line="216" w:lineRule="exact" w:before="28"/>
              <w:ind w:left="299" w:right="280"/>
              <w:jc w:val="center"/>
              <w:rPr>
                <w:rFonts w:ascii="Verdana"/>
                <w:b/>
                <w:i/>
                <w:sz w:val="18"/>
              </w:rPr>
            </w:pPr>
            <w:r>
              <w:rPr>
                <w:rFonts w:ascii="Verdana"/>
                <w:b/>
                <w:i/>
                <w:sz w:val="18"/>
              </w:rPr>
              <w:t>66.6</w:t>
            </w:r>
          </w:p>
        </w:tc>
        <w:tc>
          <w:tcPr>
            <w:tcW w:w="1161" w:type="dxa"/>
          </w:tcPr>
          <w:p>
            <w:pPr>
              <w:pStyle w:val="TableParagraph"/>
              <w:spacing w:line="216" w:lineRule="exact" w:before="28"/>
              <w:ind w:left="19"/>
              <w:jc w:val="center"/>
              <w:rPr>
                <w:rFonts w:ascii="Verdana"/>
                <w:b/>
                <w:i/>
                <w:sz w:val="18"/>
              </w:rPr>
            </w:pPr>
            <w:r>
              <w:rPr>
                <w:rFonts w:ascii="Verdana"/>
                <w:b/>
                <w:i/>
                <w:w w:val="100"/>
                <w:sz w:val="18"/>
              </w:rPr>
              <w:t>6</w:t>
            </w:r>
          </w:p>
        </w:tc>
      </w:tr>
      <w:tr>
        <w:trPr>
          <w:trHeight w:val="266" w:hRule="atLeast"/>
        </w:trPr>
        <w:tc>
          <w:tcPr>
            <w:tcW w:w="2126" w:type="dxa"/>
          </w:tcPr>
          <w:p>
            <w:pPr>
              <w:pStyle w:val="TableParagraph"/>
              <w:spacing w:line="169" w:lineRule="exact" w:before="78"/>
              <w:ind w:left="68"/>
              <w:rPr>
                <w:rFonts w:ascii="Verdana"/>
                <w:b/>
                <w:sz w:val="16"/>
              </w:rPr>
            </w:pPr>
            <w:r>
              <w:rPr>
                <w:rFonts w:ascii="Verdana"/>
                <w:b/>
                <w:sz w:val="16"/>
              </w:rPr>
              <w:t>INDUSTRIAL</w:t>
            </w:r>
          </w:p>
        </w:tc>
        <w:tc>
          <w:tcPr>
            <w:tcW w:w="1276" w:type="dxa"/>
          </w:tcPr>
          <w:p>
            <w:pPr>
              <w:pStyle w:val="TableParagraph"/>
              <w:spacing w:before="27"/>
              <w:ind w:left="86" w:right="80"/>
              <w:jc w:val="center"/>
              <w:rPr>
                <w:rFonts w:ascii="Verdana"/>
                <w:b/>
                <w:sz w:val="18"/>
              </w:rPr>
            </w:pPr>
            <w:r>
              <w:rPr>
                <w:rFonts w:ascii="Verdana"/>
                <w:b/>
                <w:sz w:val="18"/>
              </w:rPr>
              <w:t>211</w:t>
            </w:r>
          </w:p>
        </w:tc>
        <w:tc>
          <w:tcPr>
            <w:tcW w:w="849" w:type="dxa"/>
          </w:tcPr>
          <w:p>
            <w:pPr>
              <w:pStyle w:val="TableParagraph"/>
              <w:spacing w:before="27"/>
              <w:ind w:left="75" w:right="67"/>
              <w:jc w:val="center"/>
              <w:rPr>
                <w:rFonts w:ascii="Verdana"/>
                <w:b/>
                <w:sz w:val="18"/>
              </w:rPr>
            </w:pPr>
            <w:r>
              <w:rPr>
                <w:rFonts w:ascii="Verdana"/>
                <w:b/>
                <w:sz w:val="18"/>
              </w:rPr>
              <w:t>234</w:t>
            </w:r>
          </w:p>
        </w:tc>
        <w:tc>
          <w:tcPr>
            <w:tcW w:w="1147" w:type="dxa"/>
          </w:tcPr>
          <w:p>
            <w:pPr>
              <w:pStyle w:val="TableParagraph"/>
              <w:spacing w:before="27"/>
              <w:ind w:left="56" w:right="45"/>
              <w:jc w:val="center"/>
              <w:rPr>
                <w:rFonts w:ascii="Verdana"/>
                <w:b/>
                <w:sz w:val="18"/>
              </w:rPr>
            </w:pPr>
            <w:r>
              <w:rPr>
                <w:rFonts w:ascii="Verdana"/>
                <w:b/>
                <w:sz w:val="18"/>
              </w:rPr>
              <w:t>1,824.8</w:t>
            </w:r>
          </w:p>
        </w:tc>
        <w:tc>
          <w:tcPr>
            <w:tcW w:w="1077" w:type="dxa"/>
          </w:tcPr>
          <w:p>
            <w:pPr>
              <w:pStyle w:val="TableParagraph"/>
              <w:spacing w:before="27"/>
              <w:ind w:left="118" w:right="106"/>
              <w:jc w:val="center"/>
              <w:rPr>
                <w:rFonts w:ascii="Verdana"/>
                <w:b/>
                <w:sz w:val="18"/>
              </w:rPr>
            </w:pPr>
            <w:r>
              <w:rPr>
                <w:rFonts w:ascii="Verdana"/>
                <w:b/>
                <w:sz w:val="18"/>
              </w:rPr>
              <w:t>991</w:t>
            </w:r>
          </w:p>
        </w:tc>
        <w:tc>
          <w:tcPr>
            <w:tcW w:w="1083" w:type="dxa"/>
          </w:tcPr>
          <w:p>
            <w:pPr>
              <w:pStyle w:val="TableParagraph"/>
              <w:spacing w:before="27"/>
              <w:ind w:left="299" w:right="280"/>
              <w:jc w:val="center"/>
              <w:rPr>
                <w:rFonts w:ascii="Verdana"/>
                <w:b/>
                <w:i/>
                <w:sz w:val="18"/>
              </w:rPr>
            </w:pPr>
            <w:r>
              <w:rPr>
                <w:rFonts w:ascii="Verdana"/>
                <w:b/>
                <w:i/>
                <w:sz w:val="18"/>
              </w:rPr>
              <w:t>24</w:t>
            </w:r>
          </w:p>
        </w:tc>
        <w:tc>
          <w:tcPr>
            <w:tcW w:w="1161" w:type="dxa"/>
          </w:tcPr>
          <w:p>
            <w:pPr>
              <w:pStyle w:val="TableParagraph"/>
              <w:spacing w:before="27"/>
              <w:ind w:left="15"/>
              <w:jc w:val="center"/>
              <w:rPr>
                <w:rFonts w:ascii="Verdana"/>
                <w:b/>
                <w:i/>
                <w:sz w:val="18"/>
              </w:rPr>
            </w:pPr>
            <w:r>
              <w:rPr>
                <w:rFonts w:ascii="Verdana"/>
                <w:b/>
                <w:i/>
                <w:w w:val="100"/>
                <w:sz w:val="18"/>
              </w:rPr>
              <w:t>-</w:t>
            </w:r>
          </w:p>
        </w:tc>
      </w:tr>
      <w:tr>
        <w:trPr>
          <w:trHeight w:val="265" w:hRule="atLeast"/>
        </w:trPr>
        <w:tc>
          <w:tcPr>
            <w:tcW w:w="2126" w:type="dxa"/>
          </w:tcPr>
          <w:p>
            <w:pPr>
              <w:pStyle w:val="TableParagraph"/>
              <w:spacing w:line="169" w:lineRule="exact" w:before="77"/>
              <w:ind w:left="68"/>
              <w:rPr>
                <w:rFonts w:ascii="Verdana" w:hAnsi="Verdana"/>
                <w:sz w:val="16"/>
              </w:rPr>
            </w:pPr>
            <w:r>
              <w:rPr>
                <w:rFonts w:ascii="Verdana" w:hAnsi="Verdana"/>
                <w:sz w:val="16"/>
              </w:rPr>
              <w:t>Cogeneración</w:t>
            </w:r>
          </w:p>
        </w:tc>
        <w:tc>
          <w:tcPr>
            <w:tcW w:w="1276" w:type="dxa"/>
          </w:tcPr>
          <w:p>
            <w:pPr>
              <w:pStyle w:val="TableParagraph"/>
              <w:spacing w:before="25"/>
              <w:ind w:left="8"/>
              <w:jc w:val="center"/>
              <w:rPr>
                <w:rFonts w:ascii="Verdana"/>
                <w:sz w:val="18"/>
              </w:rPr>
            </w:pPr>
            <w:r>
              <w:rPr>
                <w:rFonts w:ascii="Verdana"/>
                <w:w w:val="100"/>
                <w:sz w:val="18"/>
              </w:rPr>
              <w:t>-</w:t>
            </w:r>
          </w:p>
        </w:tc>
        <w:tc>
          <w:tcPr>
            <w:tcW w:w="849" w:type="dxa"/>
          </w:tcPr>
          <w:p>
            <w:pPr>
              <w:pStyle w:val="TableParagraph"/>
              <w:spacing w:before="25"/>
              <w:ind w:left="76" w:right="67"/>
              <w:jc w:val="center"/>
              <w:rPr>
                <w:rFonts w:ascii="Verdana"/>
                <w:sz w:val="18"/>
              </w:rPr>
            </w:pPr>
            <w:r>
              <w:rPr>
                <w:rFonts w:ascii="Verdana"/>
                <w:sz w:val="18"/>
              </w:rPr>
              <w:t>220</w:t>
            </w:r>
          </w:p>
        </w:tc>
        <w:tc>
          <w:tcPr>
            <w:tcW w:w="1147" w:type="dxa"/>
          </w:tcPr>
          <w:p>
            <w:pPr>
              <w:pStyle w:val="TableParagraph"/>
              <w:spacing w:before="25"/>
              <w:ind w:left="60" w:right="45"/>
              <w:jc w:val="center"/>
              <w:rPr>
                <w:rFonts w:ascii="Verdana"/>
                <w:sz w:val="18"/>
              </w:rPr>
            </w:pPr>
            <w:r>
              <w:rPr>
                <w:rFonts w:ascii="Verdana"/>
                <w:sz w:val="18"/>
              </w:rPr>
              <w:t>1,685.8</w:t>
            </w:r>
          </w:p>
        </w:tc>
        <w:tc>
          <w:tcPr>
            <w:tcW w:w="1077" w:type="dxa"/>
          </w:tcPr>
          <w:p>
            <w:pPr>
              <w:pStyle w:val="TableParagraph"/>
              <w:spacing w:before="25"/>
              <w:ind w:left="120" w:right="106"/>
              <w:jc w:val="center"/>
              <w:rPr>
                <w:rFonts w:ascii="Verdana"/>
                <w:sz w:val="18"/>
              </w:rPr>
            </w:pPr>
            <w:r>
              <w:rPr>
                <w:rFonts w:ascii="Verdana"/>
                <w:sz w:val="18"/>
              </w:rPr>
              <w:t>991</w:t>
            </w:r>
          </w:p>
        </w:tc>
        <w:tc>
          <w:tcPr>
            <w:tcW w:w="1083" w:type="dxa"/>
          </w:tcPr>
          <w:p>
            <w:pPr>
              <w:pStyle w:val="TableParagraph"/>
              <w:spacing w:before="25"/>
              <w:ind w:left="299" w:right="277"/>
              <w:jc w:val="center"/>
              <w:rPr>
                <w:rFonts w:ascii="Verdana"/>
                <w:i/>
                <w:sz w:val="18"/>
              </w:rPr>
            </w:pPr>
            <w:r>
              <w:rPr>
                <w:rFonts w:ascii="Verdana"/>
                <w:i/>
                <w:sz w:val="18"/>
              </w:rPr>
              <w:t>22</w:t>
            </w:r>
          </w:p>
        </w:tc>
        <w:tc>
          <w:tcPr>
            <w:tcW w:w="1161" w:type="dxa"/>
          </w:tcPr>
          <w:p>
            <w:pPr>
              <w:pStyle w:val="TableParagraph"/>
              <w:spacing w:before="25"/>
              <w:ind w:left="15"/>
              <w:jc w:val="center"/>
              <w:rPr>
                <w:rFonts w:ascii="Verdana"/>
                <w:i/>
                <w:sz w:val="18"/>
              </w:rPr>
            </w:pPr>
            <w:r>
              <w:rPr>
                <w:rFonts w:ascii="Verdana"/>
                <w:i/>
                <w:w w:val="100"/>
                <w:sz w:val="18"/>
              </w:rPr>
              <w:t>6</w:t>
            </w:r>
          </w:p>
        </w:tc>
      </w:tr>
      <w:tr>
        <w:trPr>
          <w:trHeight w:val="264" w:hRule="atLeast"/>
        </w:trPr>
        <w:tc>
          <w:tcPr>
            <w:tcW w:w="2126" w:type="dxa"/>
          </w:tcPr>
          <w:p>
            <w:pPr>
              <w:pStyle w:val="TableParagraph"/>
              <w:spacing w:line="168" w:lineRule="exact" w:before="77"/>
              <w:ind w:left="68"/>
              <w:rPr>
                <w:rFonts w:ascii="Verdana" w:hAnsi="Verdana"/>
                <w:sz w:val="16"/>
              </w:rPr>
            </w:pPr>
            <w:r>
              <w:rPr>
                <w:rFonts w:ascii="Verdana" w:hAnsi="Verdana"/>
                <w:sz w:val="16"/>
              </w:rPr>
              <w:t>Motores Eléctricos</w:t>
            </w:r>
          </w:p>
        </w:tc>
        <w:tc>
          <w:tcPr>
            <w:tcW w:w="1276" w:type="dxa"/>
          </w:tcPr>
          <w:p>
            <w:pPr>
              <w:pStyle w:val="TableParagraph"/>
              <w:spacing w:line="216" w:lineRule="exact" w:before="28"/>
              <w:ind w:left="90" w:right="78"/>
              <w:jc w:val="center"/>
              <w:rPr>
                <w:rFonts w:ascii="Verdana"/>
                <w:sz w:val="18"/>
              </w:rPr>
            </w:pPr>
            <w:r>
              <w:rPr>
                <w:rFonts w:ascii="Verdana"/>
                <w:sz w:val="18"/>
              </w:rPr>
              <w:t>211</w:t>
            </w:r>
          </w:p>
        </w:tc>
        <w:tc>
          <w:tcPr>
            <w:tcW w:w="849" w:type="dxa"/>
          </w:tcPr>
          <w:p>
            <w:pPr>
              <w:pStyle w:val="TableParagraph"/>
              <w:spacing w:line="216" w:lineRule="exact" w:before="28"/>
              <w:ind w:left="76" w:right="67"/>
              <w:jc w:val="center"/>
              <w:rPr>
                <w:rFonts w:ascii="Verdana"/>
                <w:sz w:val="18"/>
              </w:rPr>
            </w:pPr>
            <w:r>
              <w:rPr>
                <w:rFonts w:ascii="Verdana"/>
                <w:sz w:val="18"/>
              </w:rPr>
              <w:t>18</w:t>
            </w:r>
          </w:p>
        </w:tc>
        <w:tc>
          <w:tcPr>
            <w:tcW w:w="1147" w:type="dxa"/>
          </w:tcPr>
          <w:p>
            <w:pPr>
              <w:pStyle w:val="TableParagraph"/>
              <w:spacing w:line="216" w:lineRule="exact" w:before="28"/>
              <w:ind w:left="62" w:right="45"/>
              <w:jc w:val="center"/>
              <w:rPr>
                <w:rFonts w:ascii="Verdana"/>
                <w:sz w:val="18"/>
              </w:rPr>
            </w:pPr>
            <w:r>
              <w:rPr>
                <w:rFonts w:ascii="Verdana"/>
                <w:sz w:val="18"/>
              </w:rPr>
              <w:t>139.0</w:t>
            </w:r>
          </w:p>
        </w:tc>
        <w:tc>
          <w:tcPr>
            <w:tcW w:w="1077" w:type="dxa"/>
          </w:tcPr>
          <w:p>
            <w:pPr>
              <w:pStyle w:val="TableParagraph"/>
              <w:spacing w:line="216" w:lineRule="exact" w:before="28"/>
              <w:ind w:left="120" w:right="106"/>
              <w:jc w:val="center"/>
              <w:rPr>
                <w:rFonts w:ascii="Verdana"/>
                <w:sz w:val="18"/>
              </w:rPr>
            </w:pPr>
            <w:r>
              <w:rPr>
                <w:rFonts w:ascii="Verdana"/>
                <w:sz w:val="18"/>
              </w:rPr>
              <w:t>273</w:t>
            </w:r>
          </w:p>
        </w:tc>
        <w:tc>
          <w:tcPr>
            <w:tcW w:w="1083" w:type="dxa"/>
          </w:tcPr>
          <w:p>
            <w:pPr>
              <w:pStyle w:val="TableParagraph"/>
              <w:spacing w:line="216" w:lineRule="exact" w:before="28"/>
              <w:ind w:left="299" w:right="279"/>
              <w:jc w:val="center"/>
              <w:rPr>
                <w:rFonts w:ascii="Verdana"/>
                <w:i/>
                <w:sz w:val="18"/>
              </w:rPr>
            </w:pPr>
            <w:r>
              <w:rPr>
                <w:rFonts w:ascii="Verdana"/>
                <w:i/>
                <w:sz w:val="18"/>
              </w:rPr>
              <w:t>6.6</w:t>
            </w:r>
          </w:p>
        </w:tc>
        <w:tc>
          <w:tcPr>
            <w:tcW w:w="1161" w:type="dxa"/>
          </w:tcPr>
          <w:p>
            <w:pPr>
              <w:pStyle w:val="TableParagraph"/>
              <w:spacing w:line="216" w:lineRule="exact" w:before="28"/>
              <w:ind w:left="15"/>
              <w:jc w:val="center"/>
              <w:rPr>
                <w:rFonts w:ascii="Verdana"/>
                <w:i/>
                <w:sz w:val="18"/>
              </w:rPr>
            </w:pPr>
            <w:r>
              <w:rPr>
                <w:rFonts w:ascii="Verdana"/>
                <w:i/>
                <w:w w:val="100"/>
                <w:sz w:val="18"/>
              </w:rPr>
              <w:t>6</w:t>
            </w:r>
          </w:p>
        </w:tc>
      </w:tr>
      <w:tr>
        <w:trPr>
          <w:trHeight w:val="266" w:hRule="atLeast"/>
        </w:trPr>
        <w:tc>
          <w:tcPr>
            <w:tcW w:w="2126" w:type="dxa"/>
          </w:tcPr>
          <w:p>
            <w:pPr>
              <w:pStyle w:val="TableParagraph"/>
              <w:spacing w:line="169" w:lineRule="exact" w:before="78"/>
              <w:ind w:left="68"/>
              <w:rPr>
                <w:rFonts w:ascii="Verdana"/>
                <w:sz w:val="16"/>
              </w:rPr>
            </w:pPr>
            <w:r>
              <w:rPr>
                <w:rFonts w:ascii="Verdana"/>
                <w:b/>
                <w:sz w:val="16"/>
              </w:rPr>
              <w:t>TRANSPORTE </w:t>
            </w:r>
            <w:r>
              <w:rPr>
                <w:rFonts w:ascii="Verdana"/>
                <w:sz w:val="16"/>
              </w:rPr>
              <w:t>(Varias)</w:t>
            </w:r>
          </w:p>
        </w:tc>
        <w:tc>
          <w:tcPr>
            <w:tcW w:w="1276" w:type="dxa"/>
          </w:tcPr>
          <w:p>
            <w:pPr>
              <w:pStyle w:val="TableParagraph"/>
              <w:spacing w:before="27"/>
              <w:ind w:left="8"/>
              <w:jc w:val="center"/>
              <w:rPr>
                <w:rFonts w:ascii="Verdana"/>
                <w:sz w:val="18"/>
              </w:rPr>
            </w:pPr>
            <w:r>
              <w:rPr>
                <w:rFonts w:ascii="Verdana"/>
                <w:w w:val="100"/>
                <w:sz w:val="18"/>
              </w:rPr>
              <w:t>-</w:t>
            </w:r>
          </w:p>
        </w:tc>
        <w:tc>
          <w:tcPr>
            <w:tcW w:w="849" w:type="dxa"/>
          </w:tcPr>
          <w:p>
            <w:pPr>
              <w:pStyle w:val="TableParagraph"/>
              <w:spacing w:before="27"/>
              <w:ind w:left="75" w:right="67"/>
              <w:jc w:val="center"/>
              <w:rPr>
                <w:rFonts w:ascii="Verdana"/>
                <w:b/>
                <w:sz w:val="18"/>
              </w:rPr>
            </w:pPr>
            <w:r>
              <w:rPr>
                <w:rFonts w:ascii="Verdana"/>
                <w:b/>
                <w:sz w:val="18"/>
              </w:rPr>
              <w:t>260</w:t>
            </w:r>
          </w:p>
        </w:tc>
        <w:tc>
          <w:tcPr>
            <w:tcW w:w="1147" w:type="dxa"/>
          </w:tcPr>
          <w:p>
            <w:pPr>
              <w:pStyle w:val="TableParagraph"/>
              <w:spacing w:before="27"/>
              <w:ind w:left="59" w:right="45"/>
              <w:jc w:val="center"/>
              <w:rPr>
                <w:rFonts w:ascii="Verdana"/>
                <w:b/>
                <w:sz w:val="18"/>
              </w:rPr>
            </w:pPr>
            <w:r>
              <w:rPr>
                <w:rFonts w:ascii="Verdana"/>
                <w:b/>
                <w:sz w:val="18"/>
              </w:rPr>
              <w:t>654.2</w:t>
            </w:r>
          </w:p>
        </w:tc>
        <w:tc>
          <w:tcPr>
            <w:tcW w:w="1077" w:type="dxa"/>
          </w:tcPr>
          <w:p>
            <w:pPr>
              <w:pStyle w:val="TableParagraph"/>
              <w:spacing w:before="27"/>
              <w:ind w:left="118" w:right="106"/>
              <w:jc w:val="center"/>
              <w:rPr>
                <w:rFonts w:ascii="Verdana"/>
                <w:b/>
                <w:sz w:val="18"/>
              </w:rPr>
            </w:pPr>
            <w:r>
              <w:rPr>
                <w:rFonts w:ascii="Verdana"/>
                <w:b/>
                <w:sz w:val="18"/>
              </w:rPr>
              <w:t>2,180</w:t>
            </w:r>
          </w:p>
        </w:tc>
        <w:tc>
          <w:tcPr>
            <w:tcW w:w="1083" w:type="dxa"/>
          </w:tcPr>
          <w:p>
            <w:pPr>
              <w:pStyle w:val="TableParagraph"/>
              <w:spacing w:before="27"/>
              <w:ind w:left="299" w:right="280"/>
              <w:jc w:val="center"/>
              <w:rPr>
                <w:rFonts w:ascii="Verdana"/>
                <w:b/>
                <w:i/>
                <w:sz w:val="18"/>
              </w:rPr>
            </w:pPr>
            <w:r>
              <w:rPr>
                <w:rFonts w:ascii="Verdana"/>
                <w:b/>
                <w:i/>
                <w:sz w:val="18"/>
              </w:rPr>
              <w:t>11.9</w:t>
            </w:r>
          </w:p>
        </w:tc>
        <w:tc>
          <w:tcPr>
            <w:tcW w:w="1161" w:type="dxa"/>
          </w:tcPr>
          <w:p>
            <w:pPr>
              <w:pStyle w:val="TableParagraph"/>
              <w:spacing w:before="27"/>
              <w:ind w:left="19"/>
              <w:jc w:val="center"/>
              <w:rPr>
                <w:rFonts w:ascii="Verdana"/>
                <w:b/>
                <w:i/>
                <w:sz w:val="18"/>
              </w:rPr>
            </w:pPr>
            <w:r>
              <w:rPr>
                <w:rFonts w:ascii="Verdana"/>
                <w:b/>
                <w:i/>
                <w:w w:val="100"/>
                <w:sz w:val="18"/>
              </w:rPr>
              <w:t>6</w:t>
            </w:r>
          </w:p>
        </w:tc>
      </w:tr>
      <w:tr>
        <w:trPr>
          <w:trHeight w:val="266" w:hRule="atLeast"/>
        </w:trPr>
        <w:tc>
          <w:tcPr>
            <w:tcW w:w="2126" w:type="dxa"/>
          </w:tcPr>
          <w:p>
            <w:pPr>
              <w:pStyle w:val="TableParagraph"/>
              <w:spacing w:line="170" w:lineRule="exact" w:before="77"/>
              <w:ind w:left="68"/>
              <w:rPr>
                <w:rFonts w:ascii="Verdana"/>
                <w:b/>
                <w:sz w:val="16"/>
              </w:rPr>
            </w:pPr>
            <w:r>
              <w:rPr>
                <w:rFonts w:ascii="Verdana"/>
                <w:b/>
                <w:sz w:val="16"/>
              </w:rPr>
              <w:t>TOTAL</w:t>
            </w:r>
          </w:p>
        </w:tc>
        <w:tc>
          <w:tcPr>
            <w:tcW w:w="1276" w:type="dxa"/>
          </w:tcPr>
          <w:p>
            <w:pPr>
              <w:pStyle w:val="TableParagraph"/>
              <w:spacing w:before="25"/>
              <w:ind w:left="86" w:right="80"/>
              <w:jc w:val="center"/>
              <w:rPr>
                <w:rFonts w:ascii="Verdana"/>
                <w:b/>
                <w:sz w:val="18"/>
              </w:rPr>
            </w:pPr>
            <w:r>
              <w:rPr>
                <w:rFonts w:ascii="Verdana"/>
                <w:b/>
                <w:sz w:val="18"/>
              </w:rPr>
              <w:t>1,231</w:t>
            </w:r>
          </w:p>
        </w:tc>
        <w:tc>
          <w:tcPr>
            <w:tcW w:w="849" w:type="dxa"/>
          </w:tcPr>
          <w:p>
            <w:pPr>
              <w:pStyle w:val="TableParagraph"/>
              <w:spacing w:before="25"/>
              <w:ind w:left="75" w:right="67"/>
              <w:jc w:val="center"/>
              <w:rPr>
                <w:rFonts w:ascii="Verdana"/>
                <w:b/>
                <w:sz w:val="18"/>
              </w:rPr>
            </w:pPr>
            <w:r>
              <w:rPr>
                <w:rFonts w:ascii="Verdana"/>
                <w:b/>
                <w:sz w:val="18"/>
              </w:rPr>
              <w:t>887</w:t>
            </w:r>
          </w:p>
        </w:tc>
        <w:tc>
          <w:tcPr>
            <w:tcW w:w="1147" w:type="dxa"/>
          </w:tcPr>
          <w:p>
            <w:pPr>
              <w:pStyle w:val="TableParagraph"/>
              <w:spacing w:before="25"/>
              <w:ind w:left="58" w:right="45"/>
              <w:jc w:val="center"/>
              <w:rPr>
                <w:rFonts w:ascii="Verdana"/>
                <w:b/>
                <w:sz w:val="18"/>
              </w:rPr>
            </w:pPr>
            <w:r>
              <w:rPr>
                <w:rFonts w:ascii="Verdana"/>
                <w:b/>
                <w:sz w:val="18"/>
              </w:rPr>
              <w:t>4,560</w:t>
            </w:r>
          </w:p>
        </w:tc>
        <w:tc>
          <w:tcPr>
            <w:tcW w:w="1077" w:type="dxa"/>
          </w:tcPr>
          <w:p>
            <w:pPr>
              <w:pStyle w:val="TableParagraph"/>
              <w:spacing w:before="25"/>
              <w:ind w:left="118" w:right="106"/>
              <w:jc w:val="center"/>
              <w:rPr>
                <w:rFonts w:ascii="Verdana"/>
                <w:b/>
                <w:sz w:val="18"/>
              </w:rPr>
            </w:pPr>
            <w:r>
              <w:rPr>
                <w:rFonts w:ascii="Verdana"/>
                <w:b/>
                <w:sz w:val="18"/>
              </w:rPr>
              <w:t>5,020</w:t>
            </w:r>
          </w:p>
        </w:tc>
        <w:tc>
          <w:tcPr>
            <w:tcW w:w="1083" w:type="dxa"/>
          </w:tcPr>
          <w:p>
            <w:pPr>
              <w:pStyle w:val="TableParagraph"/>
              <w:spacing w:before="25"/>
              <w:ind w:left="299" w:right="280"/>
              <w:jc w:val="center"/>
              <w:rPr>
                <w:rFonts w:ascii="Verdana"/>
                <w:b/>
                <w:i/>
                <w:sz w:val="18"/>
              </w:rPr>
            </w:pPr>
            <w:r>
              <w:rPr>
                <w:rFonts w:ascii="Verdana"/>
                <w:b/>
                <w:i/>
                <w:sz w:val="18"/>
              </w:rPr>
              <w:t>17.7</w:t>
            </w:r>
          </w:p>
        </w:tc>
        <w:tc>
          <w:tcPr>
            <w:tcW w:w="1161" w:type="dxa"/>
          </w:tcPr>
          <w:p>
            <w:pPr>
              <w:pStyle w:val="TableParagraph"/>
              <w:spacing w:before="25"/>
              <w:ind w:left="19"/>
              <w:jc w:val="center"/>
              <w:rPr>
                <w:rFonts w:ascii="Verdana"/>
                <w:b/>
                <w:i/>
                <w:sz w:val="18"/>
              </w:rPr>
            </w:pPr>
            <w:r>
              <w:rPr>
                <w:rFonts w:ascii="Verdana"/>
                <w:b/>
                <w:i/>
                <w:w w:val="100"/>
                <w:sz w:val="18"/>
              </w:rPr>
              <w:t>6</w:t>
            </w:r>
          </w:p>
        </w:tc>
      </w:tr>
    </w:tbl>
    <w:p>
      <w:pPr>
        <w:pStyle w:val="BodyText"/>
        <w:spacing w:before="10"/>
        <w:rPr>
          <w:rFonts w:ascii="Verdana"/>
          <w:b/>
          <w:sz w:val="21"/>
        </w:rPr>
      </w:pPr>
    </w:p>
    <w:p>
      <w:pPr>
        <w:spacing w:before="0"/>
        <w:ind w:left="239" w:right="1061" w:firstLine="0"/>
        <w:jc w:val="both"/>
        <w:rPr>
          <w:sz w:val="20"/>
        </w:rPr>
      </w:pPr>
      <w:r>
        <w:rPr>
          <w:sz w:val="20"/>
        </w:rPr>
        <w:t>Fuente: </w:t>
      </w:r>
      <w:r>
        <w:rPr>
          <w:b/>
          <w:sz w:val="20"/>
        </w:rPr>
        <w:t>DIAGNÓSTICO Y DEFINICIÓN DE LÍNEAS ESTRATÉGICAS SOBRE EL USO RACIONAL DE ENERGÍA (URE) EN REPÚBLICA DOMINICANA, </w:t>
      </w:r>
      <w:r>
        <w:rPr>
          <w:sz w:val="20"/>
        </w:rPr>
        <w:t>Odón de Buen R., Enero de 2008.</w:t>
      </w:r>
    </w:p>
    <w:p>
      <w:pPr>
        <w:pStyle w:val="BodyText"/>
        <w:rPr>
          <w:sz w:val="24"/>
        </w:rPr>
      </w:pPr>
    </w:p>
    <w:p>
      <w:pPr>
        <w:pStyle w:val="BodyText"/>
        <w:spacing w:before="12"/>
      </w:pPr>
    </w:p>
    <w:p>
      <w:pPr>
        <w:pStyle w:val="Heading2"/>
        <w:numPr>
          <w:ilvl w:val="1"/>
          <w:numId w:val="54"/>
        </w:numPr>
        <w:tabs>
          <w:tab w:pos="1312" w:val="left" w:leader="none"/>
          <w:tab w:pos="1313" w:val="left" w:leader="none"/>
          <w:tab w:pos="3919" w:val="left" w:leader="none"/>
          <w:tab w:pos="4617" w:val="left" w:leader="none"/>
          <w:tab w:pos="6374" w:val="left" w:leader="none"/>
          <w:tab w:pos="7072" w:val="left" w:leader="none"/>
          <w:tab w:pos="8709" w:val="left" w:leader="none"/>
          <w:tab w:pos="9206" w:val="left" w:leader="none"/>
        </w:tabs>
        <w:spacing w:line="240" w:lineRule="auto" w:before="0" w:after="0"/>
        <w:ind w:left="1319" w:right="1059" w:hanging="1080"/>
        <w:jc w:val="left"/>
      </w:pPr>
      <w:bookmarkStart w:name="_TOC_250042" w:id="57"/>
      <w:r>
        <w:rPr/>
        <w:t>PROYECCIONES</w:t>
        <w:tab/>
        <w:t>DE</w:t>
        <w:tab/>
        <w:t>AHORROS</w:t>
        <w:tab/>
        <w:t>DE</w:t>
        <w:tab/>
        <w:t>ENERGÍA</w:t>
        <w:tab/>
        <w:t>Y</w:t>
        <w:tab/>
      </w:r>
      <w:r>
        <w:rPr>
          <w:spacing w:val="-9"/>
        </w:rPr>
        <w:t>DE </w:t>
      </w:r>
      <w:r>
        <w:rPr/>
        <w:t>REDUCCIÓN DE</w:t>
      </w:r>
      <w:r>
        <w:rPr>
          <w:spacing w:val="1"/>
        </w:rPr>
        <w:t> </w:t>
      </w:r>
      <w:bookmarkEnd w:id="57"/>
      <w:r>
        <w:rPr/>
        <w:t>EMISIONES</w:t>
      </w:r>
    </w:p>
    <w:p>
      <w:pPr>
        <w:pStyle w:val="BodyText"/>
        <w:spacing w:before="277"/>
        <w:ind w:left="239" w:right="1055" w:hanging="1"/>
        <w:jc w:val="both"/>
      </w:pPr>
      <w:r>
        <w:rPr/>
        <w:t>Visto en el tiempo, los ahorros de energía y la reducción de emisiones de CO</w:t>
      </w:r>
      <w:r>
        <w:rPr>
          <w:vertAlign w:val="subscript"/>
        </w:rPr>
        <w:t>2</w:t>
      </w:r>
      <w:r>
        <w:rPr>
          <w:vertAlign w:val="baseline"/>
        </w:rPr>
        <w:t> evitadas deberán ocurrir de manera progresiva al irse poniendo en funcionamiento los diversos programas (Figura 4.1).</w:t>
      </w:r>
    </w:p>
    <w:p>
      <w:pPr>
        <w:spacing w:after="0"/>
        <w:jc w:val="both"/>
        <w:sectPr>
          <w:pgSz w:w="12240" w:h="15840"/>
          <w:pgMar w:header="718" w:footer="954" w:top="1360" w:bottom="1140" w:left="1200" w:right="380"/>
        </w:sectPr>
      </w:pPr>
    </w:p>
    <w:p>
      <w:pPr>
        <w:pStyle w:val="BodyText"/>
        <w:spacing w:before="3"/>
        <w:rPr>
          <w:sz w:val="11"/>
        </w:rPr>
      </w:pPr>
    </w:p>
    <w:p>
      <w:pPr>
        <w:spacing w:before="101"/>
        <w:ind w:left="4396" w:right="1427" w:hanging="3773"/>
        <w:jc w:val="left"/>
        <w:rPr>
          <w:rFonts w:ascii="Verdana" w:hAnsi="Verdana"/>
          <w:b/>
          <w:sz w:val="22"/>
        </w:rPr>
      </w:pPr>
      <w:r>
        <w:rPr/>
        <w:pict>
          <v:group style="position:absolute;margin-left:98.760002pt;margin-top:46.468803pt;width:415.7pt;height:203.05pt;mso-position-horizontal-relative:page;mso-position-vertical-relative:paragraph;z-index:15784960" coordorigin="1975,929" coordsize="8314,4061">
            <v:shape style="position:absolute;left:3153;top:4560;width:6066;height:202" type="#_x0000_t202" filled="false" stroked="false">
              <v:textbox inset="0,0,0,0">
                <w:txbxContent>
                  <w:p>
                    <w:pPr>
                      <w:tabs>
                        <w:tab w:pos="705" w:val="left" w:leader="none"/>
                        <w:tab w:pos="1411" w:val="left" w:leader="none"/>
                        <w:tab w:pos="2117" w:val="left" w:leader="none"/>
                        <w:tab w:pos="2822" w:val="left" w:leader="none"/>
                        <w:tab w:pos="3526" w:val="left" w:leader="none"/>
                        <w:tab w:pos="4231" w:val="left" w:leader="none"/>
                        <w:tab w:pos="4937" w:val="left" w:leader="none"/>
                        <w:tab w:pos="5643" w:val="left" w:leader="none"/>
                      </w:tabs>
                      <w:spacing w:line="201" w:lineRule="exact" w:before="0"/>
                      <w:ind w:left="0" w:right="0" w:firstLine="0"/>
                      <w:jc w:val="left"/>
                      <w:rPr>
                        <w:rFonts w:ascii="Arial"/>
                        <w:b/>
                        <w:sz w:val="18"/>
                      </w:rPr>
                    </w:pPr>
                    <w:r>
                      <w:rPr>
                        <w:rFonts w:ascii="Arial"/>
                        <w:b/>
                        <w:sz w:val="18"/>
                      </w:rPr>
                      <w:t>2010</w:t>
                      <w:tab/>
                      <w:t>2011</w:t>
                      <w:tab/>
                      <w:t>2012</w:t>
                      <w:tab/>
                      <w:t>2013</w:t>
                      <w:tab/>
                      <w:t>2014</w:t>
                      <w:tab/>
                      <w:t>2015</w:t>
                      <w:tab/>
                      <w:t>2016</w:t>
                      <w:tab/>
                      <w:t>2017</w:t>
                      <w:tab/>
                      <w:t>2018</w:t>
                    </w:r>
                  </w:p>
                </w:txbxContent>
              </v:textbox>
              <w10:wrap type="none"/>
            </v:shape>
            <v:shape style="position:absolute;left:2335;top:1132;width:508;height:3354" type="#_x0000_t202" filled="false" stroked="false">
              <v:textbox inset="0,0,0,0">
                <w:txbxContent>
                  <w:p>
                    <w:pPr>
                      <w:spacing w:line="216" w:lineRule="exact" w:before="0"/>
                      <w:ind w:left="0" w:right="18" w:firstLine="0"/>
                      <w:jc w:val="right"/>
                      <w:rPr>
                        <w:rFonts w:ascii="Arial"/>
                        <w:b/>
                        <w:sz w:val="19"/>
                      </w:rPr>
                    </w:pPr>
                    <w:r>
                      <w:rPr>
                        <w:rFonts w:ascii="Arial"/>
                        <w:b/>
                        <w:spacing w:val="-1"/>
                        <w:sz w:val="19"/>
                      </w:rPr>
                      <w:t>1,000</w:t>
                    </w:r>
                  </w:p>
                  <w:p>
                    <w:pPr>
                      <w:spacing w:before="93"/>
                      <w:ind w:left="0" w:right="18" w:firstLine="0"/>
                      <w:jc w:val="right"/>
                      <w:rPr>
                        <w:rFonts w:ascii="Arial"/>
                        <w:b/>
                        <w:sz w:val="19"/>
                      </w:rPr>
                    </w:pPr>
                    <w:r>
                      <w:rPr>
                        <w:rFonts w:ascii="Arial"/>
                        <w:b/>
                        <w:spacing w:val="-1"/>
                        <w:sz w:val="19"/>
                      </w:rPr>
                      <w:t>900</w:t>
                    </w:r>
                  </w:p>
                  <w:p>
                    <w:pPr>
                      <w:spacing w:before="96"/>
                      <w:ind w:left="0" w:right="18" w:firstLine="0"/>
                      <w:jc w:val="right"/>
                      <w:rPr>
                        <w:rFonts w:ascii="Arial"/>
                        <w:b/>
                        <w:sz w:val="19"/>
                      </w:rPr>
                    </w:pPr>
                    <w:r>
                      <w:rPr>
                        <w:rFonts w:ascii="Arial"/>
                        <w:b/>
                        <w:spacing w:val="-1"/>
                        <w:sz w:val="19"/>
                      </w:rPr>
                      <w:t>800</w:t>
                    </w:r>
                  </w:p>
                  <w:p>
                    <w:pPr>
                      <w:spacing w:before="96"/>
                      <w:ind w:left="0" w:right="18" w:firstLine="0"/>
                      <w:jc w:val="right"/>
                      <w:rPr>
                        <w:rFonts w:ascii="Arial"/>
                        <w:b/>
                        <w:sz w:val="19"/>
                      </w:rPr>
                    </w:pPr>
                    <w:r>
                      <w:rPr>
                        <w:rFonts w:ascii="Arial"/>
                        <w:b/>
                        <w:spacing w:val="-1"/>
                        <w:sz w:val="19"/>
                      </w:rPr>
                      <w:t>700</w:t>
                    </w:r>
                  </w:p>
                  <w:p>
                    <w:pPr>
                      <w:spacing w:before="96"/>
                      <w:ind w:left="0" w:right="18" w:firstLine="0"/>
                      <w:jc w:val="right"/>
                      <w:rPr>
                        <w:rFonts w:ascii="Arial"/>
                        <w:b/>
                        <w:sz w:val="19"/>
                      </w:rPr>
                    </w:pPr>
                    <w:r>
                      <w:rPr>
                        <w:rFonts w:ascii="Arial"/>
                        <w:b/>
                        <w:spacing w:val="-1"/>
                        <w:sz w:val="19"/>
                      </w:rPr>
                      <w:t>600</w:t>
                    </w:r>
                  </w:p>
                  <w:p>
                    <w:pPr>
                      <w:spacing w:before="93"/>
                      <w:ind w:left="0" w:right="18" w:firstLine="0"/>
                      <w:jc w:val="right"/>
                      <w:rPr>
                        <w:rFonts w:ascii="Arial"/>
                        <w:b/>
                        <w:sz w:val="19"/>
                      </w:rPr>
                    </w:pPr>
                    <w:r>
                      <w:rPr>
                        <w:rFonts w:ascii="Arial"/>
                        <w:b/>
                        <w:spacing w:val="-1"/>
                        <w:sz w:val="19"/>
                      </w:rPr>
                      <w:t>500</w:t>
                    </w:r>
                  </w:p>
                  <w:p>
                    <w:pPr>
                      <w:spacing w:before="96"/>
                      <w:ind w:left="0" w:right="18" w:firstLine="0"/>
                      <w:jc w:val="right"/>
                      <w:rPr>
                        <w:rFonts w:ascii="Arial"/>
                        <w:b/>
                        <w:sz w:val="19"/>
                      </w:rPr>
                    </w:pPr>
                    <w:r>
                      <w:rPr>
                        <w:rFonts w:ascii="Arial"/>
                        <w:b/>
                        <w:spacing w:val="-1"/>
                        <w:sz w:val="19"/>
                      </w:rPr>
                      <w:t>400</w:t>
                    </w:r>
                  </w:p>
                  <w:p>
                    <w:pPr>
                      <w:spacing w:before="96"/>
                      <w:ind w:left="0" w:right="18" w:firstLine="0"/>
                      <w:jc w:val="right"/>
                      <w:rPr>
                        <w:rFonts w:ascii="Arial"/>
                        <w:b/>
                        <w:sz w:val="19"/>
                      </w:rPr>
                    </w:pPr>
                    <w:r>
                      <w:rPr>
                        <w:rFonts w:ascii="Arial"/>
                        <w:b/>
                        <w:spacing w:val="-1"/>
                        <w:sz w:val="19"/>
                      </w:rPr>
                      <w:t>300</w:t>
                    </w:r>
                  </w:p>
                  <w:p>
                    <w:pPr>
                      <w:spacing w:before="96"/>
                      <w:ind w:left="0" w:right="18" w:firstLine="0"/>
                      <w:jc w:val="right"/>
                      <w:rPr>
                        <w:rFonts w:ascii="Arial"/>
                        <w:b/>
                        <w:sz w:val="19"/>
                      </w:rPr>
                    </w:pPr>
                    <w:r>
                      <w:rPr>
                        <w:rFonts w:ascii="Arial"/>
                        <w:b/>
                        <w:spacing w:val="-1"/>
                        <w:sz w:val="19"/>
                      </w:rPr>
                      <w:t>200</w:t>
                    </w:r>
                  </w:p>
                  <w:p>
                    <w:pPr>
                      <w:spacing w:before="96"/>
                      <w:ind w:left="0" w:right="18" w:firstLine="0"/>
                      <w:jc w:val="right"/>
                      <w:rPr>
                        <w:rFonts w:ascii="Arial"/>
                        <w:b/>
                        <w:sz w:val="19"/>
                      </w:rPr>
                    </w:pPr>
                    <w:r>
                      <w:rPr>
                        <w:rFonts w:ascii="Arial"/>
                        <w:b/>
                        <w:spacing w:val="-1"/>
                        <w:sz w:val="19"/>
                      </w:rPr>
                      <w:t>100</w:t>
                    </w:r>
                  </w:p>
                  <w:p>
                    <w:pPr>
                      <w:spacing w:before="94"/>
                      <w:ind w:left="0" w:right="18" w:firstLine="0"/>
                      <w:jc w:val="right"/>
                      <w:rPr>
                        <w:rFonts w:ascii="Arial"/>
                        <w:b/>
                        <w:sz w:val="19"/>
                      </w:rPr>
                    </w:pPr>
                    <w:r>
                      <w:rPr>
                        <w:rFonts w:ascii="Arial"/>
                        <w:b/>
                        <w:w w:val="102"/>
                        <w:sz w:val="19"/>
                      </w:rPr>
                      <w:t>0</w:t>
                    </w:r>
                  </w:p>
                </w:txbxContent>
              </v:textbox>
              <w10:wrap type="none"/>
            </v:shape>
            <v:shape style="position:absolute;left:1975;top:929;width:8314;height:4061" coordorigin="1975,929" coordsize="8314,4061" path="m1994,929l1975,929,1975,4985,1978,4990,10284,4990,10289,4985,10289,4981,1994,4981,1985,4971,1994,4971,1994,941,1985,941,1994,929xm1994,4971l1985,4971,1994,4981,1994,4971xm10270,4971l1994,4971,1994,4981,10270,4981,10270,4971xm10270,929l10270,4981,10279,4971,10289,4971,10289,941,10279,941,10270,929xm10289,4971l10279,4971,10270,4981,10289,4981,10289,4971xm1994,929l1985,941,1994,941,1994,929xm10270,929l1994,929,1994,941,10270,941,10270,929xm10289,929l10270,929,10279,941,10289,941,10289,929xe" filled="true" fillcolor="#000000" stroked="false">
              <v:path arrowok="t"/>
              <v:fill type="solid"/>
            </v:shape>
            <w10:wrap type="none"/>
          </v:group>
        </w:pict>
      </w:r>
      <w:r>
        <w:rPr/>
        <w:pict>
          <v:shape style="position:absolute;margin-left:107.543007pt;margin-top:127.67025pt;width:14.1pt;height:28.9pt;mso-position-horizontal-relative:page;mso-position-vertical-relative:paragraph;z-index:15785472" type="#_x0000_t202" filled="false" stroked="false">
            <v:textbox inset="0,0,0,0" style="layout-flow:vertical;mso-layout-flow-alt:bottom-to-top">
              <w:txbxContent>
                <w:p>
                  <w:pPr>
                    <w:spacing w:before="18"/>
                    <w:ind w:left="20" w:right="0" w:firstLine="0"/>
                    <w:jc w:val="left"/>
                    <w:rPr>
                      <w:rFonts w:ascii="Arial"/>
                      <w:b/>
                      <w:sz w:val="21"/>
                    </w:rPr>
                  </w:pPr>
                  <w:r>
                    <w:rPr>
                      <w:rFonts w:ascii="Arial"/>
                      <w:b/>
                      <w:sz w:val="21"/>
                    </w:rPr>
                    <w:t>KTep</w:t>
                  </w:r>
                </w:p>
              </w:txbxContent>
            </v:textbox>
            <w10:wrap type="none"/>
          </v:shape>
        </w:pict>
      </w:r>
      <w:r>
        <w:rPr>
          <w:rFonts w:ascii="Verdana" w:hAnsi="Verdana"/>
          <w:b/>
          <w:sz w:val="22"/>
        </w:rPr>
        <w:t>Figura 4.1 - Evolución de los ahorros de energía de consumo final por sectores</w:t>
      </w:r>
    </w:p>
    <w:p>
      <w:pPr>
        <w:pStyle w:val="BodyText"/>
        <w:rPr>
          <w:rFonts w:ascii="Verdana"/>
          <w:b/>
          <w:sz w:val="20"/>
        </w:rPr>
      </w:pPr>
    </w:p>
    <w:p>
      <w:pPr>
        <w:pStyle w:val="BodyText"/>
        <w:rPr>
          <w:rFonts w:ascii="Verdana"/>
          <w:b/>
          <w:sz w:val="26"/>
        </w:rPr>
      </w:pPr>
      <w:r>
        <w:rPr/>
        <w:pict>
          <v:group style="position:absolute;margin-left:147.240005pt;margin-top:17.790667pt;width:320.8pt;height:160.1pt;mso-position-horizontal-relative:page;mso-position-vertical-relative:paragraph;z-index:-15673856;mso-wrap-distance-left:0;mso-wrap-distance-right:0" coordorigin="2945,356" coordsize="6416,3202">
            <v:shape style="position:absolute;left:3004;top:363;width:6346;height:2828" coordorigin="3005,363" coordsize="6346,2828" path="m9350,3185l3005,3185,3005,3190,9350,3190,9350,3185xm9350,2873l3005,2873,3005,2878,9350,2878,9350,2873xm9350,2559l3005,2559,3005,2564,9350,2564,9350,2559xm9350,2245l3005,2245,3005,2249,9350,2249,9350,2245xm9350,1930l3005,1930,3005,1935,9350,1935,9350,1930xm9350,1618l3005,1618,3005,1623,9350,1623,9350,1618xm9350,1304l3005,1304,3005,1309,9350,1309,9350,1304xm9350,989l3005,989,3005,994,9350,994,9350,989xm9350,677l3005,677,3005,682,9350,682,9350,677xm9350,363l3005,363,3005,368,9350,368,9350,363xe" filled="true" fillcolor="#000000" stroked="false">
              <v:path arrowok="t"/>
              <v:fill type="solid"/>
            </v:shape>
            <v:shape style="position:absolute;left:2995;top:355;width:6365;height:3156" coordorigin="2995,356" coordsize="6365,3156" path="m9355,356l3000,356,2995,361,2995,3507,3000,3512,9355,3512,9360,3507,9360,3502,3014,3502,3005,3493,3014,3493,3014,375,3005,375,3014,365,9360,365,9360,361,9355,356xm3014,3493l3005,3493,3014,3502,3014,3493xm9341,3493l3014,3493,3014,3502,9341,3502,9341,3493xm9341,365l9341,3502,9350,3493,9360,3493,9360,375,9350,375,9341,365xm9360,3493l9350,3493,9341,3502,9360,3502,9360,3493xm3014,365l3005,375,3014,375,3014,365xm9341,365l3014,365,3014,375,9341,375,9341,365xm9360,365l9341,365,9350,375,9360,375,9360,365xe" filled="true" fillcolor="#7f7f7f" stroked="false">
              <v:path arrowok="t"/>
              <v:fill type="solid"/>
            </v:shape>
            <v:shape style="position:absolute;left:3921;top:3307;width:281;height:197" type="#_x0000_t75" stroked="false">
              <v:imagedata r:id="rId27" o:title=""/>
            </v:shape>
            <v:shape style="position:absolute;left:4627;top:3113;width:281;height:392" type="#_x0000_t75" stroked="false">
              <v:imagedata r:id="rId28" o:title=""/>
            </v:shape>
            <v:shape style="position:absolute;left:5332;top:2919;width:281;height:586" type="#_x0000_t75" stroked="false">
              <v:imagedata r:id="rId29" o:title=""/>
            </v:shape>
            <v:shape style="position:absolute;left:6036;top:2722;width:284;height:783" type="#_x0000_t75" stroked="false">
              <v:imagedata r:id="rId30" o:title=""/>
            </v:shape>
            <v:shape style="position:absolute;left:6741;top:2554;width:284;height:951" type="#_x0000_t75" stroked="false">
              <v:imagedata r:id="rId31" o:title=""/>
            </v:shape>
            <v:shape style="position:absolute;left:7447;top:2383;width:284;height:1121" type="#_x0000_t75" stroked="false">
              <v:imagedata r:id="rId32" o:title=""/>
            </v:shape>
            <v:shape style="position:absolute;left:8152;top:2383;width:281;height:1121" type="#_x0000_t75" stroked="false">
              <v:imagedata r:id="rId33" o:title=""/>
            </v:shape>
            <v:shape style="position:absolute;left:8858;top:2383;width:281;height:1121" type="#_x0000_t75" stroked="false">
              <v:imagedata r:id="rId34" o:title=""/>
            </v:shape>
            <v:shape style="position:absolute;left:3912;top:2374;width:5237;height:1131" coordorigin="3912,2374" coordsize="5237,1131" path="m4207,3298l3914,3298,3912,3303,3912,3505,4212,3505,4212,3505,3931,3505,3922,3495,3931,3495,3931,3320,3922,3320,3931,3308,4212,3308,4212,3303,4207,3298xm3931,3495l3922,3495,3931,3505,3931,3495xm4193,3495l3931,3495,3931,3505,4193,3505,4193,3495xm4193,3308l4193,3505,4202,3495,4212,3495,4212,3320,4202,3320,4193,3308xm4212,3495l4202,3495,4193,3505,4212,3505,4212,3495xm3931,3308l3922,3320,3931,3320,3931,3308xm4193,3308l3931,3308,3931,3320,4193,3320,4193,3308xm4212,3308l4193,3308,4202,3320,4212,3320,4212,3308xm4913,3104l4620,3104,4618,3109,4618,3505,4918,3505,4918,3505,4637,3505,4627,3495,4637,3495,4637,3125,4627,3125,4637,3113,4918,3113,4918,3109,4913,3104xm4637,3495l4627,3495,4637,3505,4637,3495xm4898,3495l4637,3495,4637,3505,4898,3505,4898,3495xm4898,3113l4898,3505,4908,3495,4918,3495,4918,3125,4908,3125,4898,3113xm4918,3495l4908,3495,4898,3505,4918,3505,4918,3495xm4637,3113l4627,3125,4637,3125,4637,3113xm4898,3113l4637,3113,4637,3125,4898,3125,4898,3113xm4918,3113l4898,3113,4908,3125,4918,3125,4918,3113xm5618,2909l5326,2909,5323,2914,5323,3505,5623,3505,5623,3505,5342,3505,5333,3495,5342,3495,5342,2931,5333,2931,5342,2919,5623,2919,5623,2914,5618,2909xm5342,3495l5333,3495,5342,3505,5342,3495xm5604,3495l5342,3495,5342,3505,5604,3505,5604,3495xm5604,2919l5604,3505,5614,3495,5623,3495,5623,2931,5614,2931,5604,2919xm5623,3495l5614,3495,5604,3505,5623,3505,5623,3495xm5342,2919l5333,2931,5342,2931,5342,2919xm5604,2919l5342,2919,5342,2931,5604,2931,5604,2919xm5623,2919l5604,2919,5614,2931,5623,2931,5623,2919xm6324,2713l6029,2713,6026,2717,6026,3505,6329,3505,6329,3505,6046,3505,6036,3495,6046,3495,6046,2734,6036,2734,6046,2722,6329,2722,6329,2717,6324,2713xm6046,3495l6036,3495,6046,3505,6046,3495xm6310,3495l6046,3495,6046,3505,6310,3505,6310,3495xm6310,2722l6310,3505,6319,3495,6329,3495,6329,2734,6319,2734,6310,2722xm6329,3495l6319,3495,6310,3505,6329,3505,6329,3495xm6046,2722l6036,2734,6046,2734,6046,2722xm6310,2722l6046,2722,6046,2734,6310,2734,6310,2722xm6329,2722l6310,2722,6319,2734,6329,2734,6329,2722xm7030,2545l6734,2545,6732,2549,6732,3505,7034,3505,7034,3505,6751,3505,6742,3495,6751,3495,6751,2566,6742,2566,6751,2554,7034,2554,7034,2549,7030,2545xm6751,3495l6742,3495,6751,3505,6751,3495xm7015,3495l6751,3495,6751,3505,7015,3505,7015,3495xm7015,2554l7015,3505,7025,3495,7034,3495,7034,2566,7025,2566,7015,2554xm7034,3495l7025,3495,7015,3505,7034,3505,7034,3495xm6751,2554l6742,2566,6751,2566,6751,2554xm7015,2554l6751,2554,6751,2566,7015,2566,7015,2554xm7034,2554l7015,2554,7025,2566,7034,2566,7034,2554xm7735,2374l7440,2374,7438,2379,7438,3505,7740,3505,7740,3505,7457,3505,7447,3495,7457,3495,7457,2396,7447,2396,7457,2384,7740,2384,7740,2379,7735,2374xm7457,3495l7447,3495,7457,3505,7457,3495xm7721,3495l7457,3495,7457,3505,7721,3505,7721,3495xm7721,2384l7721,3505,7730,3495,7740,3495,7740,2396,7730,2396,7721,2384xm7740,3495l7730,3495,7721,3505,7740,3505,7740,3495xm7457,2384l7447,2396,7457,2396,7457,2384xm7721,2384l7457,2384,7457,2396,7721,2396,7721,2384xm7740,2384l7721,2384,7730,2396,7740,2396,7740,2384xm8438,2374l8146,2374,8143,2379,8143,3505,8443,3505,8443,3505,8162,3505,8153,3495,8162,3495,8162,2396,8153,2396,8162,2384,8443,2384,8443,2379,8438,2374xm8162,3495l8153,3495,8162,3505,8162,3495xm8424,3495l8162,3495,8162,3505,8424,3505,8424,3495xm8424,2384l8424,3505,8434,3495,8443,3495,8443,2396,8434,2396,8424,2384xm8443,3495l8434,3495,8424,3505,8443,3505,8443,3495xm8162,2384l8153,2396,8162,2396,8162,2384xm8424,2384l8162,2384,8162,2396,8424,2396,8424,2384xm8443,2384l8424,2384,8434,2396,8443,2396,8443,2384xm9144,2374l8851,2374,8849,2379,8849,3505,9149,3505,9149,3505,8868,3505,8858,3495,8868,3495,8868,2396,8858,2396,8868,2384,9149,2384,9149,2379,9144,2374xm8868,3495l8858,3495,8868,3505,8868,3495xm9130,3495l8868,3495,8868,3505,9130,3505,9130,3495xm9130,2384l9130,3505,9139,3495,9149,3495,9149,2396,9139,2396,9130,2384xm9149,3495l9139,3495,9130,3505,9149,3505,9149,3495xm8868,2384l8858,2396,8868,2396,8868,2384xm9130,2384l8868,2384,8868,2396,9130,2396,9130,2384xm9149,2384l9130,2384,9139,2396,9149,2396,9149,2384xe" filled="true" fillcolor="#000000" stroked="false">
              <v:path arrowok="t"/>
              <v:fill type="solid"/>
            </v:shape>
            <v:shape style="position:absolute;left:3921;top:3286;width:281;height:22" type="#_x0000_t75" stroked="false">
              <v:imagedata r:id="rId35" o:title=""/>
            </v:shape>
            <v:shape style="position:absolute;left:4627;top:3070;width:281;height:44" type="#_x0000_t75" stroked="false">
              <v:imagedata r:id="rId36" o:title=""/>
            </v:shape>
            <v:shape style="position:absolute;left:5332;top:2854;width:281;height:65" type="#_x0000_t75" stroked="false">
              <v:imagedata r:id="rId37" o:title=""/>
            </v:shape>
            <v:shape style="position:absolute;left:6036;top:2638;width:284;height:84" type="#_x0000_t75" stroked="false">
              <v:imagedata r:id="rId38" o:title=""/>
            </v:shape>
            <v:shape style="position:absolute;left:6741;top:2453;width:284;height:101" type="#_x0000_t75" stroked="false">
              <v:imagedata r:id="rId39" o:title=""/>
            </v:shape>
            <v:shape style="position:absolute;left:7447;top:2271;width:284;height:113" type="#_x0000_t75" stroked="false">
              <v:imagedata r:id="rId40" o:title=""/>
            </v:shape>
            <v:shape style="position:absolute;left:8152;top:2271;width:281;height:113" type="#_x0000_t75" stroked="false">
              <v:imagedata r:id="rId41" o:title=""/>
            </v:shape>
            <v:shape style="position:absolute;left:8858;top:2271;width:281;height:113" type="#_x0000_t75" stroked="false">
              <v:imagedata r:id="rId42" o:title=""/>
            </v:shape>
            <v:shape style="position:absolute;left:3912;top:2261;width:5237;height:1059" coordorigin="3912,2261" coordsize="5237,1059" path="m4207,3277l3914,3277,3912,3281,3912,3315,3914,3320,4207,3320,4212,3315,4212,3308,3931,3308,3922,3298,3931,3286,4212,3286,4212,3281,4207,3277xm3931,3286l3922,3298,3931,3308,3931,3286xm4193,3286l3931,3286,3931,3308,4193,3308,4193,3286xm4193,3286l4193,3308,4202,3298,4193,3286xm4212,3286l4193,3286,4202,3298,4193,3308,4212,3308,4212,3286xm4913,3061l4620,3061,4618,3065,4618,3121,4620,3125,4913,3125,4918,3121,4918,3113,4637,3113,4627,3104,4637,3104,4637,3082,4627,3082,4637,3070,4918,3070,4918,3065,4913,3061xm4637,3104l4627,3104,4637,3113,4637,3104xm4898,3104l4637,3104,4637,3113,4898,3113,4898,3104xm4898,3070l4898,3113,4908,3104,4918,3104,4918,3082,4908,3082,4898,3070xm4918,3104l4908,3104,4898,3113,4918,3113,4918,3104xm4637,3070l4627,3082,4637,3082,4637,3070xm4898,3070l4637,3070,4637,3082,4898,3082,4898,3070xm4918,3070l4898,3070,4908,3082,4918,3082,4918,3070xm5618,2845l5326,2845,5323,2849,5323,2926,5326,2931,5618,2931,5623,2926,5623,2919,5342,2919,5333,2909,5342,2909,5342,2866,5333,2866,5342,2854,5623,2854,5623,2849,5618,2845xm5342,2909l5333,2909,5342,2919,5342,2909xm5604,2909l5342,2909,5342,2919,5604,2919,5604,2909xm5604,2854l5604,2919,5614,2909,5623,2909,5623,2866,5614,2866,5604,2854xm5623,2909l5614,2909,5604,2919,5623,2919,5623,2909xm5342,2854l5333,2866,5342,2866,5342,2854xm5604,2854l5342,2854,5342,2866,5604,2866,5604,2854xm5623,2854l5604,2854,5614,2866,5623,2866,5623,2854xm6324,2629l6029,2629,6026,2633,6026,2729,6029,2734,6324,2734,6329,2729,6329,2722,6046,2722,6036,2713,6046,2713,6046,2650,6036,2650,6046,2638,6329,2638,6329,2633,6324,2629xm6046,2713l6036,2713,6046,2722,6046,2713xm6310,2713l6046,2713,6046,2722,6310,2722,6310,2713xm6310,2638l6310,2722,6319,2713,6329,2713,6329,2650,6319,2650,6310,2638xm6329,2713l6319,2713,6310,2722,6329,2722,6329,2713xm6046,2638l6036,2650,6046,2650,6046,2638xm6310,2638l6046,2638,6046,2650,6310,2650,6310,2638xm6329,2638l6310,2638,6319,2650,6329,2650,6329,2638xm7030,2444l6734,2444,6732,2449,6732,2561,6734,2566,7030,2566,7034,2561,7034,2554,6751,2554,6742,2545,6751,2545,6751,2465,6742,2465,6751,2453,7034,2453,7034,2449,7030,2444xm6751,2545l6742,2545,6751,2554,6751,2545xm7015,2545l6751,2545,6751,2554,7015,2554,7015,2545xm7015,2453l7015,2554,7025,2545,7034,2545,7034,2465,7025,2465,7015,2453xm7034,2545l7025,2545,7015,2554,7034,2554,7034,2545xm6751,2453l6742,2465,6751,2465,6751,2453xm7015,2453l6751,2453,6751,2465,7015,2465,7015,2453xm7034,2453l7015,2453,7025,2465,7034,2465,7034,2453xm7735,2261l7440,2261,7438,2266,7438,2391,7440,2396,7735,2396,7740,2391,7740,2384,7457,2384,7447,2374,7457,2374,7457,2283,7447,2283,7457,2271,7740,2271,7740,2266,7735,2261xm7457,2374l7447,2374,7457,2384,7457,2374xm7721,2374l7457,2374,7457,2384,7721,2384,7721,2374xm7721,2271l7721,2384,7730,2374,7740,2374,7740,2283,7730,2283,7721,2271xm7740,2374l7730,2374,7721,2384,7740,2384,7740,2374xm7457,2271l7447,2283,7457,2283,7457,2271xm7721,2271l7457,2271,7457,2283,7721,2283,7721,2271xm7740,2271l7721,2271,7730,2283,7740,2283,7740,2271xm8438,2261l8146,2261,8143,2266,8143,2391,8146,2396,8438,2396,8443,2391,8443,2384,8162,2384,8153,2374,8162,2374,8162,2283,8153,2283,8162,2271,8443,2271,8443,2266,8438,2261xm8162,2374l8153,2374,8162,2384,8162,2374xm8424,2374l8162,2374,8162,2384,8424,2384,8424,2374xm8424,2271l8424,2384,8434,2374,8443,2374,8443,2283,8434,2283,8424,2271xm8443,2374l8434,2374,8424,2384,8443,2384,8443,2374xm8162,2271l8153,2283,8162,2283,8162,2271xm8424,2271l8162,2271,8162,2283,8424,2283,8424,2271xm8443,2271l8424,2271,8434,2283,8443,2283,8443,2271xm9144,2261l8851,2261,8849,2266,8849,2391,8851,2396,9144,2396,9149,2391,9149,2384,8868,2384,8858,2374,8868,2374,8868,2283,8858,2283,8868,2271,9149,2271,9149,2266,9144,2261xm8868,2374l8858,2374,8868,2384,8868,2374xm9130,2374l8868,2374,8868,2384,9130,2384,9130,2374xm9130,2271l9130,2384,9139,2374,9149,2374,9149,2283,9139,2283,9130,2271xm9149,2374l9139,2374,9130,2384,9149,2384,9149,2374xm8868,2271l8858,2283,8868,2283,8868,2271xm9130,2271l8868,2271,8868,2283,9130,2283,9130,2271xm9149,2271l9130,2271,9139,2283,9149,2283,9149,2271xe" filled="true" fillcolor="#000000" stroked="false">
              <v:path arrowok="t"/>
              <v:fill type="solid"/>
            </v:shape>
            <v:shape style="position:absolute;left:3921;top:1536;width:5218;height:1750" coordorigin="3922,1537" coordsize="5218,1750" path="m4202,3164l3922,3164,3922,3286,4202,3286,4202,3164xm4908,2825l4627,2825,4627,3070,4908,3070,4908,2825xm5614,2487l5333,2487,5333,2854,5614,2854,5614,2487xm6319,2149l6036,2149,6036,2638,6319,2638,6319,2149xm7025,1841l6742,1841,6742,2453,7025,2453,7025,1841xm7730,1537l7447,1537,7447,2271,7730,2271,7730,1537xm8434,1537l8153,1537,8153,2271,8434,2271,8434,1537xm9139,1537l8858,1537,8858,2271,9139,2271,9139,1537xe" filled="true" fillcolor="#ffffcc" stroked="false">
              <v:path arrowok="t"/>
              <v:fill type="solid"/>
            </v:shape>
            <v:shape style="position:absolute;left:3912;top:1527;width:5237;height:1772" coordorigin="3912,1527" coordsize="5237,1772" path="m4207,3154l3914,3154,3912,3159,3912,3293,3914,3298,4207,3298,4212,3293,4212,3286,3931,3286,3922,3277,3931,3277,3931,3176,3922,3176,3931,3164,4212,3164,4212,3159,4207,3154xm3931,3277l3922,3277,3931,3286,3931,3277xm4193,3277l3931,3277,3931,3286,4193,3286,4193,3277xm4193,3164l4193,3286,4202,3277,4212,3277,4212,3176,4202,3176,4193,3164xm4212,3277l4202,3277,4193,3286,4212,3286,4212,3277xm3931,3164l3922,3176,3931,3176,3931,3164xm4193,3164l3931,3164,3931,3176,4193,3176,4193,3164xm4212,3164l4193,3164,4202,3176,4212,3176,4212,3164xm4913,2816l4620,2816,4618,2821,4618,3077,4620,3082,4913,3082,4918,3077,4918,3070,4637,3070,4627,3061,4637,3061,4637,2837,4627,2837,4637,2825,4918,2825,4918,2821,4913,2816xm4637,3061l4627,3061,4637,3070,4637,3061xm4898,3061l4637,3061,4637,3070,4898,3070,4898,3061xm4898,2825l4898,3070,4908,3061,4918,3061,4918,2837,4908,2837,4898,2825xm4918,3061l4908,3061,4898,3070,4918,3070,4918,3061xm4637,2825l4627,2837,4637,2837,4637,2825xm4898,2825l4637,2825,4637,2837,4898,2837,4898,2825xm4918,2825l4898,2825,4908,2837,4918,2837,4918,2825xm5618,2477l5326,2477,5323,2482,5323,2861,5326,2866,5618,2866,5623,2861,5623,2854,5342,2854,5333,2845,5342,2845,5342,2499,5333,2499,5342,2487,5623,2487,5623,2482,5618,2477xm5342,2845l5333,2845,5342,2854,5342,2845xm5604,2845l5342,2845,5342,2854,5604,2854,5604,2845xm5604,2487l5604,2854,5614,2845,5623,2845,5623,2499,5614,2499,5604,2487xm5623,2845l5614,2845,5604,2854,5623,2854,5623,2845xm5342,2487l5333,2499,5342,2499,5342,2487xm5604,2487l5342,2487,5342,2499,5604,2499,5604,2487xm5623,2487l5604,2487,5614,2499,5623,2499,5623,2487xm6324,2139l6029,2139,6026,2144,6026,2645,6029,2650,6324,2650,6329,2645,6329,2638,6046,2638,6036,2629,6046,2629,6046,2161,6036,2161,6046,2149,6329,2149,6329,2144,6324,2139xm6046,2629l6036,2629,6046,2638,6046,2629xm6310,2629l6046,2629,6046,2638,6310,2638,6310,2629xm6310,2149l6310,2638,6319,2629,6329,2629,6329,2161,6319,2161,6310,2149xm6329,2629l6319,2629,6310,2638,6329,2638,6329,2629xm6046,2149l6036,2161,6046,2161,6046,2149xm6310,2149l6046,2149,6046,2161,6310,2161,6310,2149xm6329,2149l6310,2149,6319,2161,6329,2161,6329,2149xm7030,1832l6734,1832,6732,1837,6732,2461,6734,2465,7030,2465,7034,2461,7034,2453,6751,2453,6742,2444,6751,2444,6751,1853,6742,1853,6751,1841,7034,1841,7034,1837,7030,1832xm6751,2444l6742,2444,6751,2453,6751,2444xm7015,2444l6751,2444,6751,2453,7015,2453,7015,2444xm7015,1841l7015,2453,7025,2444,7034,2444,7034,1853,7025,1853,7015,1841xm7034,2444l7025,2444,7015,2453,7034,2453,7034,2444xm6751,1841l6742,1853,6751,1853,6751,1841xm7015,1841l6751,1841,6751,1853,7015,1853,7015,1841xm7034,1841l7015,1841,7025,1853,7034,1853,7034,1841xm7735,1527l7440,1527,7438,1532,7438,2278,7440,2283,7735,2283,7740,2278,7740,2271,7457,2271,7447,2261,7457,2261,7457,1549,7447,1549,7457,1537,7740,1537,7740,1532,7735,1527xm7457,2261l7447,2261,7457,2271,7457,2261xm7721,2261l7457,2261,7457,2271,7721,2271,7721,2261xm7721,1537l7721,2271,7730,2261,7740,2261,7740,1549,7730,1549,7721,1537xm7740,2261l7730,2261,7721,2271,7740,2271,7740,2261xm7457,1537l7447,1549,7457,1549,7457,1537xm7721,1537l7457,1537,7457,1549,7721,1549,7721,1537xm7740,1537l7721,1537,7730,1549,7740,1549,7740,1537xm8438,1527l8146,1527,8143,1532,8143,2278,8146,2283,8438,2283,8443,2278,8443,2271,8162,2271,8153,2261,8162,2261,8162,1549,8153,1549,8162,1537,8443,1537,8443,1532,8438,1527xm8162,2261l8153,2261,8162,2271,8162,2261xm8424,2261l8162,2261,8162,2271,8424,2271,8424,2261xm8424,1537l8424,2271,8434,2261,8443,2261,8443,1549,8434,1549,8424,1537xm8443,2261l8434,2261,8424,2271,8443,2271,8443,2261xm8162,1537l8153,1549,8162,1549,8162,1537xm8424,1537l8162,1537,8162,1549,8424,1549,8424,1537xm8443,1537l8424,1537,8434,1549,8443,1549,8443,1537xm9144,1527l8851,1527,8849,1532,8849,2278,8851,2283,9144,2283,9149,2278,9149,2271,8868,2271,8858,2261,8868,2261,8868,1549,8858,1549,8868,1537,9149,1537,9149,1532,9144,1527xm8868,2261l8858,2261,8868,2271,8868,2261xm9130,2261l8868,2261,8868,2271,9130,2271,9130,2261xm9130,1537l9130,2271,9139,2261,9149,2261,9149,1549,9139,1549,9130,1537xm9149,2261l9139,2261,9130,2271,9149,2271,9149,2261xm8868,1537l8858,1549,8868,1549,8868,1537xm9130,1537l8868,1537,8868,1549,9130,1549,9130,1537xm9149,1537l9130,1537,9139,1549,9149,1549,9149,1537xe" filled="true" fillcolor="#000000" stroked="false">
              <v:path arrowok="t"/>
              <v:fill type="solid"/>
            </v:shape>
            <v:shape style="position:absolute;left:3921;top:3070;width:281;height:94" type="#_x0000_t75" stroked="false">
              <v:imagedata r:id="rId43" o:title=""/>
            </v:shape>
            <v:shape style="position:absolute;left:4627;top:2638;width:281;height:188" type="#_x0000_t75" stroked="false">
              <v:imagedata r:id="rId44" o:title=""/>
            </v:shape>
            <v:shape style="position:absolute;left:5332;top:2203;width:281;height:284" type="#_x0000_t75" stroked="false">
              <v:imagedata r:id="rId45" o:title=""/>
            </v:shape>
            <v:shape style="position:absolute;left:6036;top:1771;width:284;height:377" type="#_x0000_t75" stroked="false">
              <v:imagedata r:id="rId46" o:title=""/>
            </v:shape>
            <v:shape style="position:absolute;left:6741;top:1371;width:284;height:471" type="#_x0000_t75" stroked="false">
              <v:imagedata r:id="rId47" o:title=""/>
            </v:shape>
            <v:shape style="position:absolute;left:7447;top:970;width:284;height:567" type="#_x0000_t75" stroked="false">
              <v:imagedata r:id="rId48" o:title=""/>
            </v:shape>
            <v:shape style="position:absolute;left:8152;top:845;width:281;height:692" type="#_x0000_t75" stroked="false">
              <v:imagedata r:id="rId49" o:title=""/>
            </v:shape>
            <v:shape style="position:absolute;left:8858;top:720;width:281;height:816" type="#_x0000_t75" stroked="false">
              <v:imagedata r:id="rId50" o:title=""/>
            </v:shape>
            <v:shape style="position:absolute;left:2944;top:363;width:6408;height:3195" coordorigin="2945,363" coordsize="6408,3195" path="m4212,3065l4207,3061,4193,3061,4193,3082,4193,3154,3931,3154,3931,3082,4193,3082,4193,3061,3914,3061,3912,3065,3912,3171,3914,3176,4207,3176,4212,3171,4212,3164,4212,3154,4212,3082,4212,3070,4212,3065xm4918,2633l4913,2629,4898,2629,4898,2650,4898,2816,4637,2816,4637,2650,4898,2650,4898,2629,4620,2629,4618,2633,4618,2833,4620,2837,4913,2837,4918,2833,4918,2825,4918,2816,4918,2650,4918,2638,4918,2633xm5623,2199l5618,2194,5604,2194,5604,2216,5604,2477,5342,2477,5342,2216,5604,2216,5604,2194,5326,2194,5323,2199,5323,2494,5326,2499,5618,2499,5623,2494,5623,2487,5623,2477,5623,2216,5623,2204,5623,2199xm6329,1767l6324,1762,6310,1762,6310,1784,6310,2139,6046,2139,6046,1784,6310,1784,6310,1762,6029,1762,6026,1767,6026,2156,6029,2161,6324,2161,6329,2156,6329,2149,6329,2139,6329,1784,6329,1772,6329,1767xm7034,1366l7030,1361,7015,1361,7015,1383,7015,1832,6751,1832,6751,1383,7015,1383,7015,1361,6734,1361,6732,1366,6732,1849,6734,1853,7030,1853,7034,1849,7034,1841,7034,1832,7034,1383,7034,1371,7034,1366xm7740,965l7735,961,7721,961,7721,982,7721,1527,7457,1527,7457,982,7721,982,7721,961,7440,961,7438,965,7438,1544,7440,1549,7735,1549,7740,1544,7740,1537,7740,1527,7740,982,7740,970,7740,965xm8443,841l8438,836,8424,836,8424,857,8424,1527,8162,1527,8162,857,8424,857,8424,836,8146,836,8143,841,8143,1544,8146,1549,8438,1549,8443,1544,8443,1537,8443,1527,8443,857,8443,845,8443,841xm9149,716l9144,711,9130,711,9130,733,9130,1527,8868,1527,8868,733,9130,733,9130,711,8851,711,8849,716,8849,1544,8851,1549,9144,1549,9149,1544,9149,1537,9149,1527,9149,733,9149,721,9149,716xm9353,3502l9350,3502,9350,3500,3007,3500,3007,365,3005,365,3005,363,2945,363,2945,368,3002,368,3002,677,2945,677,2945,682,3002,682,3002,989,2945,989,2945,994,3002,994,3002,1304,2945,1304,2945,1309,3002,1309,3002,1618,2945,1618,2945,1623,3002,1623,3002,1930,2945,1930,2945,1935,3002,1935,3002,2245,2945,2245,2945,2249,3002,2249,3002,2559,2945,2559,2945,2564,3002,2564,3002,2873,2945,2873,2945,2878,3002,2878,3002,3185,2945,3185,2945,3190,3002,3190,3002,3500,2945,3500,2945,3505,3002,3505,3002,3557,3007,3557,3007,3505,3708,3505,3708,3557,3713,3557,3713,3505,4414,3505,4414,3557,4418,3557,4418,3505,5117,3505,5117,3557,5122,3557,5122,3505,5822,3505,5822,3557,5827,3557,5827,3505,6528,3505,6528,3557,6533,3557,6533,3505,7234,3505,7234,3557,7238,3557,7238,3505,7937,3505,7937,3557,7942,3557,7942,3505,8642,3505,8642,3557,8647,3557,8647,3505,9348,3505,9348,3557,9353,3557,9353,3502xe" filled="true" fillcolor="#000000" stroked="false">
              <v:path arrowok="t"/>
              <v:fill type="solid"/>
            </v:shape>
            <v:rect style="position:absolute;left:3187;top:514;width:2055;height:1436" filled="true" fillcolor="#ffffff" stroked="false">
              <v:fill type="solid"/>
            </v:rect>
            <v:shape style="position:absolute;left:3184;top:511;width:2060;height:1440" coordorigin="3185,512" coordsize="2060,1440" path="m5242,512l3187,512,3185,514,3185,1949,3187,1952,5242,1952,5244,1949,3190,1949,3187,1947,3190,1947,3190,517,3187,517,3190,514,5244,514,5242,512xm3190,1947l3187,1947,3190,1949,3190,1947xm5239,1947l3190,1947,3190,1949,5239,1949,5239,1947xm5239,514l5239,1949,5242,1947,5244,1947,5244,517,5242,517,5239,514xm5244,1947l5242,1947,5239,1949,5244,1949,5244,1947xm3190,514l3187,517,3190,517,3190,514xm5239,514l3190,514,3190,517,5239,517,5239,514xm5244,514l5239,514,5242,517,5244,517,5244,514xe" filled="true" fillcolor="#000000" stroked="false">
              <v:path arrowok="t"/>
              <v:fill type="solid"/>
            </v:shape>
            <v:shape style="position:absolute;left:3405;top:658;width:72;height:75" type="#_x0000_t75" stroked="false">
              <v:imagedata r:id="rId51" o:title=""/>
            </v:shape>
            <v:shape style="position:absolute;left:3393;top:648;width:96;height:94" coordorigin="3394,649" coordsize="96,94" path="m3485,649l3398,649,3394,651,3394,737,3398,742,3485,742,3490,737,3490,733,3415,733,3406,721,3415,721,3415,668,3406,668,3415,658,3490,658,3490,651,3485,649xm3415,721l3406,721,3415,733,3415,721xm3468,721l3415,721,3415,733,3468,733,3468,721xm3468,658l3468,733,3478,721,3490,721,3490,668,3478,668,3468,658xm3490,721l3478,721,3468,733,3490,733,3490,721xm3415,658l3406,668,3415,668,3415,658xm3468,658l3415,658,3415,668,3468,668,3468,658xm3490,658l3468,658,3478,668,3490,668,3490,658xe" filled="true" fillcolor="#000000" stroked="false">
              <v:path arrowok="t"/>
              <v:fill type="solid"/>
            </v:shape>
            <v:rect style="position:absolute;left:3405;top:1015;width:75;height:75" filled="true" fillcolor="#ffffcc" stroked="false">
              <v:fill type="solid"/>
            </v:rect>
            <v:shape style="position:absolute;left:3396;top:1006;width:94;height:94" coordorigin="3396,1006" coordsize="94,94" path="m3485,1006l3401,1006,3396,1011,3396,1095,3401,1100,3485,1100,3490,1095,3490,1090,3415,1090,3406,1081,3415,1081,3415,1025,3406,1025,3415,1016,3490,1016,3490,1011,3485,1006xm3415,1081l3406,1081,3415,1090,3415,1081xm3470,1081l3415,1081,3415,1090,3470,1090,3470,1081xm3470,1016l3470,1090,3480,1081,3490,1081,3490,1025,3480,1025,3470,1016xm3490,1081l3480,1081,3470,1090,3490,1090,3490,1081xm3415,1016l3406,1025,3415,1025,3415,1016xm3470,1016l3415,1016,3415,1025,3470,1025,3470,1016xm3490,1016l3470,1016,3480,1025,3490,1025,3490,1016xe" filled="true" fillcolor="#000000" stroked="false">
              <v:path arrowok="t"/>
              <v:fill type="solid"/>
            </v:shape>
            <v:shape style="position:absolute;left:3405;top:1375;width:72;height:72" type="#_x0000_t75" stroked="false">
              <v:imagedata r:id="rId52" o:title=""/>
            </v:shape>
            <v:shape style="position:absolute;left:3393;top:1363;width:96;height:96" coordorigin="3394,1364" coordsize="96,96" path="m3485,1364l3398,1364,3394,1369,3394,1455,3398,1460,3485,1460,3490,1455,3490,1448,3415,1448,3406,1438,3415,1438,3415,1385,3406,1385,3415,1376,3490,1376,3490,1369,3485,1364xm3415,1438l3406,1438,3415,1448,3415,1438xm3468,1438l3415,1438,3415,1448,3468,1448,3468,1438xm3468,1376l3468,1448,3478,1438,3490,1438,3490,1385,3478,1385,3468,1376xm3490,1438l3478,1438,3468,1448,3490,1448,3490,1438xm3415,1376l3406,1385,3415,1385,3415,1376xm3468,1376l3415,1376,3415,1385,3468,1385,3468,1376xm3490,1376l3468,1376,3478,1385,3490,1385,3490,1376xe" filled="true" fillcolor="#000000" stroked="false">
              <v:path arrowok="t"/>
              <v:fill type="solid"/>
            </v:shape>
            <v:shape style="position:absolute;left:3405;top:1733;width:72;height:75" type="#_x0000_t75" stroked="false">
              <v:imagedata r:id="rId53" o:title=""/>
            </v:shape>
            <v:shape style="position:absolute;left:3393;top:1723;width:96;height:94" coordorigin="3394,1724" coordsize="96,94" path="m3485,1724l3398,1724,3394,1729,3394,1813,3398,1817,3485,1817,3490,1813,3490,1808,3415,1808,3406,1798,3415,1798,3415,1743,3406,1743,3415,1733,3490,1733,3490,1729,3485,1724xm3415,1798l3406,1798,3415,1808,3415,1798xm3468,1798l3415,1798,3415,1808,3468,1808,3468,1798xm3468,1733l3468,1808,3478,1798,3490,1798,3490,1743,3478,1743,3468,1733xm3490,1798l3478,1798,3468,1808,3490,1808,3490,1798xm3415,1733l3406,1743,3415,1743,3415,1733xm3468,1733l3415,1733,3415,1743,3468,1743,3468,1733xm3490,1733l3468,1733,3478,1743,3490,1743,3490,1733xe" filled="true" fillcolor="#000000" stroked="false">
              <v:path arrowok="t"/>
              <v:fill type="solid"/>
            </v:shape>
            <v:shape style="position:absolute;left:2944;top:355;width:6416;height:3202" type="#_x0000_t202" filled="false" stroked="false">
              <v:textbox inset="0,0,0,0">
                <w:txbxContent>
                  <w:p>
                    <w:pPr>
                      <w:spacing w:line="240" w:lineRule="auto" w:before="4"/>
                      <w:rPr>
                        <w:rFonts w:ascii="Verdana"/>
                        <w:b/>
                        <w:sz w:val="21"/>
                      </w:rPr>
                    </w:pPr>
                  </w:p>
                  <w:p>
                    <w:pPr>
                      <w:spacing w:line="532" w:lineRule="auto" w:before="0"/>
                      <w:ind w:left="561" w:right="4486" w:firstLine="0"/>
                      <w:jc w:val="left"/>
                      <w:rPr>
                        <w:rFonts w:ascii="Arial"/>
                        <w:b/>
                        <w:sz w:val="14"/>
                      </w:rPr>
                    </w:pPr>
                    <w:r>
                      <w:rPr>
                        <w:rFonts w:ascii="Arial"/>
                        <w:b/>
                        <w:w w:val="105"/>
                        <w:sz w:val="14"/>
                      </w:rPr>
                      <w:t>Transporte Industria</w:t>
                    </w:r>
                  </w:p>
                  <w:p>
                    <w:pPr>
                      <w:spacing w:line="532" w:lineRule="auto" w:before="3"/>
                      <w:ind w:left="561" w:right="3546" w:firstLine="0"/>
                      <w:jc w:val="left"/>
                      <w:rPr>
                        <w:rFonts w:ascii="Arial"/>
                        <w:b/>
                        <w:sz w:val="14"/>
                      </w:rPr>
                    </w:pPr>
                    <w:r>
                      <w:rPr>
                        <w:rFonts w:ascii="Arial"/>
                        <w:b/>
                        <w:w w:val="105"/>
                        <w:sz w:val="14"/>
                      </w:rPr>
                      <w:t>Comercial y servicios Residencial</w:t>
                    </w:r>
                  </w:p>
                </w:txbxContent>
              </v:textbox>
              <w10:wrap type="none"/>
            </v:shape>
            <w10:wrap type="topAndBottom"/>
          </v:group>
        </w:pict>
      </w:r>
    </w:p>
    <w:p>
      <w:pPr>
        <w:pStyle w:val="BodyText"/>
        <w:rPr>
          <w:rFonts w:ascii="Verdana"/>
          <w:b/>
          <w:sz w:val="26"/>
        </w:rPr>
      </w:pPr>
    </w:p>
    <w:p>
      <w:pPr>
        <w:pStyle w:val="BodyText"/>
        <w:rPr>
          <w:rFonts w:ascii="Verdana"/>
          <w:b/>
          <w:sz w:val="26"/>
        </w:rPr>
      </w:pPr>
    </w:p>
    <w:p>
      <w:pPr>
        <w:spacing w:before="0"/>
        <w:ind w:left="239" w:right="1062" w:firstLine="0"/>
        <w:jc w:val="both"/>
        <w:rPr>
          <w:sz w:val="20"/>
        </w:rPr>
      </w:pPr>
      <w:r>
        <w:rPr>
          <w:sz w:val="20"/>
        </w:rPr>
        <w:t>Fuente: </w:t>
      </w:r>
      <w:r>
        <w:rPr>
          <w:b/>
          <w:sz w:val="20"/>
        </w:rPr>
        <w:t>DIAGNÓSTICO Y DEFINICIÓN DE LÍNEAS ESTRATÉGICAS SOBRE EL USO RACIONAL DE ENERGÍA (URE) EN REPÚBLICA DOMINICANA, </w:t>
      </w:r>
      <w:r>
        <w:rPr>
          <w:sz w:val="20"/>
        </w:rPr>
        <w:t>Odón de Buen R., Enero de 2008.</w:t>
      </w:r>
    </w:p>
    <w:p>
      <w:pPr>
        <w:pStyle w:val="BodyText"/>
        <w:rPr>
          <w:sz w:val="24"/>
        </w:rPr>
      </w:pPr>
    </w:p>
    <w:p>
      <w:pPr>
        <w:pStyle w:val="BodyText"/>
        <w:rPr>
          <w:sz w:val="28"/>
        </w:rPr>
      </w:pPr>
    </w:p>
    <w:p>
      <w:pPr>
        <w:pStyle w:val="BodyText"/>
        <w:ind w:left="239" w:right="1055"/>
        <w:jc w:val="both"/>
      </w:pPr>
      <w:r>
        <w:rPr/>
        <w:t>En una perspectiva al año 2016 y para el cual se ha considerado una tasa de crecimiento promedio anual del consumo de energía de 3.6%, el consumo final sin uso racional de energía (URE) llegaría a poco más de 7,400 KTep por año en 2016, mientras que con URE ese valor sería de 6,600 KTep (Fig. 4.2).</w:t>
      </w:r>
    </w:p>
    <w:p>
      <w:pPr>
        <w:pStyle w:val="BodyText"/>
        <w:spacing w:before="11"/>
        <w:rPr>
          <w:sz w:val="22"/>
        </w:rPr>
      </w:pPr>
    </w:p>
    <w:p>
      <w:pPr>
        <w:pStyle w:val="BodyText"/>
        <w:ind w:left="239" w:right="1055" w:hanging="1"/>
        <w:jc w:val="both"/>
      </w:pPr>
      <w:r>
        <w:rPr/>
        <w:t>En la misma perspectiva, las emisiones de CO</w:t>
      </w:r>
      <w:r>
        <w:rPr>
          <w:vertAlign w:val="subscript"/>
        </w:rPr>
        <w:t>2</w:t>
      </w:r>
      <w:r>
        <w:rPr>
          <w:vertAlign w:val="baseline"/>
        </w:rPr>
        <w:t> que se tendrían sin URE llegarían a más de 25 millones de toneladas por año en 2018, mientras que con URE ese valor disminuye a 21 millones de toneladas (Fig. 4.3).</w:t>
      </w:r>
    </w:p>
    <w:p>
      <w:pPr>
        <w:spacing w:after="0"/>
        <w:jc w:val="both"/>
        <w:sectPr>
          <w:pgSz w:w="12240" w:h="15840"/>
          <w:pgMar w:header="718" w:footer="954" w:top="1360" w:bottom="1140" w:left="1200" w:right="380"/>
        </w:sectPr>
      </w:pPr>
    </w:p>
    <w:p>
      <w:pPr>
        <w:pStyle w:val="BodyText"/>
        <w:rPr>
          <w:sz w:val="20"/>
        </w:rPr>
      </w:pPr>
    </w:p>
    <w:p>
      <w:pPr>
        <w:pStyle w:val="BodyText"/>
        <w:spacing w:before="8"/>
        <w:rPr>
          <w:sz w:val="22"/>
        </w:rPr>
      </w:pPr>
    </w:p>
    <w:p>
      <w:pPr>
        <w:spacing w:before="0"/>
        <w:ind w:left="878" w:right="0" w:firstLine="0"/>
        <w:jc w:val="left"/>
        <w:rPr>
          <w:rFonts w:ascii="Verdana" w:hAnsi="Verdana"/>
          <w:b/>
          <w:sz w:val="22"/>
        </w:rPr>
      </w:pPr>
      <w:r>
        <w:rPr>
          <w:rFonts w:ascii="Verdana" w:hAnsi="Verdana"/>
          <w:b/>
          <w:sz w:val="22"/>
        </w:rPr>
        <w:t>Figura 4.2 - Evolución del consumo final de energía sin y con URE</w:t>
      </w:r>
    </w:p>
    <w:p>
      <w:pPr>
        <w:pStyle w:val="BodyText"/>
        <w:rPr>
          <w:rFonts w:ascii="Verdana"/>
          <w:b/>
          <w:sz w:val="22"/>
        </w:rPr>
      </w:pPr>
      <w:r>
        <w:rPr/>
        <w:pict>
          <v:group style="position:absolute;margin-left:100.32pt;margin-top:15.363654pt;width:410.8pt;height:215.8pt;mso-position-horizontal-relative:page;mso-position-vertical-relative:paragraph;z-index:-15671296;mso-wrap-distance-left:0;mso-wrap-distance-right:0" coordorigin="2006,307" coordsize="8216,4316">
            <v:shape style="position:absolute;left:2035;top:328;width:2540;height:4270" type="#_x0000_t75" stroked="false">
              <v:imagedata r:id="rId54" o:title=""/>
            </v:shape>
            <v:shape style="position:absolute;left:2006;top:307;width:2568;height:4316" coordorigin="2006,307" coordsize="2568,4316" path="m4574,307l2006,307,2006,4622,4574,4622,4574,4610,2026,4610,2016,4601,2026,4601,2026,326,2016,326,2026,317,4574,317,4574,307xm2026,4601l2016,4601,2026,4610,2026,4601xm4574,4601l2026,4601,2026,4610,4574,4610,4574,4601xm2026,317l2016,326,2026,326,2026,317xm4574,317l2026,317,2026,326,4574,326,4574,317xe" filled="true" fillcolor="#000000" stroked="false">
              <v:path arrowok="t"/>
              <v:fill type="solid"/>
            </v:shape>
            <v:shape style="position:absolute;left:4574;top:328;width:5626;height:4270" type="#_x0000_t75" stroked="false">
              <v:imagedata r:id="rId55" o:title=""/>
            </v:shape>
            <v:shape style="position:absolute;left:4574;top:307;width:5648;height:4316" coordorigin="4574,307" coordsize="5648,4316" path="m10222,307l9149,307,4574,307,4574,326,9149,326,10200,326,10200,4601,9149,4601,4574,4601,4574,4622,9149,4622,10222,4622,10222,4610,10222,4601,10222,326,10222,317,10222,307xe" filled="true" fillcolor="#000000" stroked="false">
              <v:path arrowok="t"/>
              <v:fill type="solid"/>
            </v:shape>
            <w10:wrap type="topAndBottom"/>
          </v:group>
        </w:pict>
      </w:r>
    </w:p>
    <w:p>
      <w:pPr>
        <w:spacing w:line="237" w:lineRule="auto" w:before="0"/>
        <w:ind w:left="239" w:right="1060" w:firstLine="0"/>
        <w:jc w:val="left"/>
        <w:rPr>
          <w:sz w:val="20"/>
        </w:rPr>
      </w:pPr>
      <w:r>
        <w:rPr>
          <w:sz w:val="20"/>
        </w:rPr>
        <w:t>Fuente: </w:t>
      </w:r>
      <w:r>
        <w:rPr>
          <w:b/>
          <w:sz w:val="20"/>
        </w:rPr>
        <w:t>DIAGNÓSTICO Y DEFINICIÓN DE LÍNEAS ESTRATÉGICAS SOBRE EL USO RACIONAL DE ENERGÍA (URE) EN REPÚBLICA DOMINICANA, </w:t>
      </w:r>
      <w:r>
        <w:rPr>
          <w:sz w:val="20"/>
        </w:rPr>
        <w:t>Odón de Buen R., Enero de 2008.</w:t>
      </w:r>
    </w:p>
    <w:p>
      <w:pPr>
        <w:pStyle w:val="BodyText"/>
        <w:spacing w:before="2"/>
        <w:rPr>
          <w:sz w:val="15"/>
        </w:rPr>
      </w:pPr>
    </w:p>
    <w:p>
      <w:pPr>
        <w:spacing w:before="101"/>
        <w:ind w:left="1401" w:right="0" w:firstLine="0"/>
        <w:jc w:val="left"/>
        <w:rPr>
          <w:rFonts w:ascii="Verdana" w:hAnsi="Verdana"/>
          <w:b/>
          <w:sz w:val="22"/>
        </w:rPr>
      </w:pPr>
      <w:r>
        <w:rPr>
          <w:rFonts w:ascii="Verdana" w:hAnsi="Verdana"/>
          <w:b/>
          <w:sz w:val="22"/>
        </w:rPr>
        <w:t>Figura 4.3 - Evolución de emisiones de CO</w:t>
      </w:r>
      <w:r>
        <w:rPr>
          <w:rFonts w:ascii="Verdana" w:hAnsi="Verdana"/>
          <w:b/>
          <w:sz w:val="22"/>
          <w:vertAlign w:val="subscript"/>
        </w:rPr>
        <w:t>2</w:t>
      </w:r>
      <w:r>
        <w:rPr>
          <w:rFonts w:ascii="Verdana" w:hAnsi="Verdana"/>
          <w:b/>
          <w:sz w:val="22"/>
          <w:vertAlign w:val="baseline"/>
        </w:rPr>
        <w:t> sin y con URE</w:t>
      </w:r>
    </w:p>
    <w:p>
      <w:pPr>
        <w:pStyle w:val="BodyText"/>
        <w:spacing w:before="10"/>
        <w:rPr>
          <w:rFonts w:ascii="Verdana"/>
          <w:b/>
          <w:sz w:val="21"/>
        </w:rPr>
      </w:pPr>
      <w:r>
        <w:rPr/>
        <w:pict>
          <v:group style="position:absolute;margin-left:98.040001pt;margin-top:15.239397pt;width:415.35pt;height:209.8pt;mso-position-horizontal-relative:page;mso-position-vertical-relative:paragraph;z-index:-15670784;mso-wrap-distance-left:0;mso-wrap-distance-right:0" coordorigin="1961,305" coordsize="8307,4196">
            <v:shape style="position:absolute;left:1987;top:331;width:2588;height:4148" type="#_x0000_t75" stroked="false">
              <v:imagedata r:id="rId56" o:title=""/>
            </v:shape>
            <v:shape style="position:absolute;left:1960;top:304;width:2614;height:4196" coordorigin="1961,305" coordsize="2614,4196" path="m4574,305l1961,305,1961,4500,4574,4500,4574,4490,1980,4490,1970,4481,1980,4481,1980,326,1970,326,1980,314,4574,314,4574,305xm1980,4481l1970,4481,1980,4490,1980,4481xm4574,4481l1980,4481,1980,4490,4574,4490,4574,4481xm1980,314l1970,326,1980,326,1980,314xm4574,314l1980,314,1980,326,4574,326,4574,314xe" filled="true" fillcolor="#000000" stroked="false">
              <v:path arrowok="t"/>
              <v:fill type="solid"/>
            </v:shape>
            <v:shape style="position:absolute;left:4574;top:331;width:5672;height:4148" type="#_x0000_t75" stroked="false">
              <v:imagedata r:id="rId57" o:title=""/>
            </v:shape>
            <v:shape style="position:absolute;left:4574;top:304;width:5693;height:4196" coordorigin="4574,305" coordsize="5693,4196" path="m10267,305l9149,305,4574,305,4574,326,9149,326,10246,326,10246,4481,9149,4481,4574,4481,4574,4500,9149,4500,10267,4500,10267,4490,10267,4481,10267,326,10267,314,10267,305xe" filled="true" fillcolor="#000000" stroked="false">
              <v:path arrowok="t"/>
              <v:fill type="solid"/>
            </v:shape>
            <w10:wrap type="topAndBottom"/>
          </v:group>
        </w:pict>
      </w:r>
    </w:p>
    <w:p>
      <w:pPr>
        <w:spacing w:line="240" w:lineRule="auto" w:before="0"/>
        <w:ind w:left="239" w:right="1060" w:firstLine="0"/>
        <w:jc w:val="left"/>
        <w:rPr>
          <w:sz w:val="20"/>
        </w:rPr>
      </w:pPr>
      <w:r>
        <w:rPr>
          <w:sz w:val="20"/>
        </w:rPr>
        <w:t>Fuente: </w:t>
      </w:r>
      <w:r>
        <w:rPr>
          <w:b/>
          <w:sz w:val="20"/>
        </w:rPr>
        <w:t>DIAGNÓSTICO Y DEFINICIÓN DE LÍNEAS ESTRATÉGICAS SOBRE EL USO RACIONAL DE ENERGÍA (URE) EN REPÚBLICA DOMINICANA, </w:t>
      </w:r>
      <w:r>
        <w:rPr>
          <w:sz w:val="20"/>
        </w:rPr>
        <w:t>Odón de Buen R., Enero de 2008.</w:t>
      </w:r>
    </w:p>
    <w:p>
      <w:pPr>
        <w:spacing w:after="0" w:line="240" w:lineRule="auto"/>
        <w:jc w:val="left"/>
        <w:rPr>
          <w:sz w:val="20"/>
        </w:rPr>
        <w:sectPr>
          <w:pgSz w:w="12240" w:h="15840"/>
          <w:pgMar w:header="718" w:footer="954" w:top="1360" w:bottom="1140" w:left="1200" w:right="380"/>
        </w:sectPr>
      </w:pPr>
    </w:p>
    <w:p>
      <w:pPr>
        <w:pStyle w:val="BodyText"/>
        <w:rPr>
          <w:sz w:val="20"/>
        </w:rPr>
      </w:pPr>
    </w:p>
    <w:p>
      <w:pPr>
        <w:pStyle w:val="BodyText"/>
        <w:spacing w:before="6"/>
        <w:rPr>
          <w:sz w:val="15"/>
        </w:rPr>
      </w:pPr>
    </w:p>
    <w:p>
      <w:pPr>
        <w:pStyle w:val="Heading2"/>
        <w:numPr>
          <w:ilvl w:val="1"/>
          <w:numId w:val="54"/>
        </w:numPr>
        <w:tabs>
          <w:tab w:pos="970" w:val="left" w:leader="none"/>
        </w:tabs>
        <w:spacing w:line="240" w:lineRule="auto" w:before="99" w:after="0"/>
        <w:ind w:left="969" w:right="0" w:hanging="731"/>
        <w:jc w:val="both"/>
      </w:pPr>
      <w:bookmarkStart w:name="_TOC_250041" w:id="58"/>
      <w:r>
        <w:rPr/>
        <w:t>LAS BARRERAS PARA EL USO RACIONAL DE</w:t>
      </w:r>
      <w:r>
        <w:rPr>
          <w:spacing w:val="-3"/>
        </w:rPr>
        <w:t> </w:t>
      </w:r>
      <w:bookmarkEnd w:id="58"/>
      <w:r>
        <w:rPr/>
        <w:t>ENERGÍA</w:t>
      </w:r>
    </w:p>
    <w:p>
      <w:pPr>
        <w:pStyle w:val="BodyText"/>
        <w:rPr>
          <w:rFonts w:ascii="Verdana"/>
          <w:b/>
          <w:sz w:val="24"/>
        </w:rPr>
      </w:pPr>
    </w:p>
    <w:p>
      <w:pPr>
        <w:pStyle w:val="BodyText"/>
        <w:ind w:left="239" w:right="1055"/>
        <w:jc w:val="both"/>
      </w:pPr>
      <w:r>
        <w:rPr/>
        <w:t>En la República Dominicana se presentan un conjunto de barreras al desarrollo de medidas de ahorro de energía en todos los sectores de su economía. Algunas de estas barreras se presentan en cualquier economía pero otras son muy particulares al contexto</w:t>
      </w:r>
      <w:r>
        <w:rPr>
          <w:spacing w:val="-25"/>
        </w:rPr>
        <w:t> </w:t>
      </w:r>
      <w:r>
        <w:rPr/>
        <w:t>dominicano.</w:t>
      </w:r>
    </w:p>
    <w:p>
      <w:pPr>
        <w:pStyle w:val="BodyText"/>
        <w:spacing w:before="10"/>
        <w:rPr>
          <w:sz w:val="22"/>
        </w:rPr>
      </w:pPr>
    </w:p>
    <w:p>
      <w:pPr>
        <w:pStyle w:val="BodyText"/>
        <w:ind w:left="239" w:right="1056"/>
        <w:jc w:val="both"/>
        <w:rPr>
          <w:rFonts w:ascii="Verdana" w:hAnsi="Verdana"/>
          <w:sz w:val="22"/>
        </w:rPr>
      </w:pPr>
      <w:r>
        <w:rPr/>
        <w:t>Para los propósitos de definir los lineamientos estratégicos se identifican estas barreras  bajo las cuatro categorías: (a) institucionales, (b) técnicas, (b) económicas, y (d)</w:t>
      </w:r>
      <w:r>
        <w:rPr>
          <w:spacing w:val="-23"/>
        </w:rPr>
        <w:t> </w:t>
      </w:r>
      <w:r>
        <w:rPr/>
        <w:t>sociales</w:t>
      </w:r>
      <w:r>
        <w:rPr>
          <w:rFonts w:ascii="Verdana" w:hAnsi="Verdana"/>
          <w:sz w:val="22"/>
        </w:rPr>
        <w:t>.</w:t>
      </w:r>
    </w:p>
    <w:p>
      <w:pPr>
        <w:pStyle w:val="BodyText"/>
        <w:spacing w:before="4"/>
        <w:rPr>
          <w:rFonts w:ascii="Verdana"/>
          <w:sz w:val="30"/>
        </w:rPr>
      </w:pPr>
    </w:p>
    <w:p>
      <w:pPr>
        <w:pStyle w:val="Heading3"/>
        <w:rPr>
          <w:i/>
        </w:rPr>
      </w:pPr>
      <w:bookmarkStart w:name="_TOC_250040" w:id="59"/>
      <w:bookmarkEnd w:id="59"/>
      <w:r>
        <w:rPr>
          <w:i/>
          <w:w w:val="110"/>
        </w:rPr>
        <w:t>Barreras institucionales</w:t>
      </w:r>
    </w:p>
    <w:p>
      <w:pPr>
        <w:pStyle w:val="BodyText"/>
        <w:spacing w:before="5"/>
        <w:rPr>
          <w:rFonts w:ascii="Times New Roman"/>
          <w:b/>
          <w:i/>
          <w:sz w:val="24"/>
        </w:rPr>
      </w:pPr>
    </w:p>
    <w:p>
      <w:pPr>
        <w:pStyle w:val="ListParagraph"/>
        <w:numPr>
          <w:ilvl w:val="0"/>
          <w:numId w:val="55"/>
        </w:numPr>
        <w:tabs>
          <w:tab w:pos="600" w:val="left" w:leader="none"/>
        </w:tabs>
        <w:spacing w:line="235" w:lineRule="auto" w:before="0" w:after="0"/>
        <w:ind w:left="599" w:right="1056" w:hanging="360"/>
        <w:jc w:val="both"/>
        <w:rPr>
          <w:sz w:val="23"/>
        </w:rPr>
      </w:pPr>
      <w:r>
        <w:rPr>
          <w:sz w:val="23"/>
        </w:rPr>
        <w:t>Poco compromiso histórico de las autoridades con el tema, lo cual se ha reflejado en bajos niveles presupuestarios y de personal.</w:t>
      </w:r>
    </w:p>
    <w:p>
      <w:pPr>
        <w:pStyle w:val="ListParagraph"/>
        <w:numPr>
          <w:ilvl w:val="0"/>
          <w:numId w:val="55"/>
        </w:numPr>
        <w:tabs>
          <w:tab w:pos="600" w:val="left" w:leader="none"/>
        </w:tabs>
        <w:spacing w:line="235" w:lineRule="auto" w:before="129" w:after="0"/>
        <w:ind w:left="599" w:right="1056" w:hanging="360"/>
        <w:jc w:val="both"/>
        <w:rPr>
          <w:sz w:val="23"/>
        </w:rPr>
      </w:pPr>
      <w:r>
        <w:rPr>
          <w:sz w:val="23"/>
        </w:rPr>
        <w:t>Carencia de sistemas de normas y regulaciones técnicas que permitan asegurar la calidad y el rendimiento de los</w:t>
      </w:r>
      <w:r>
        <w:rPr>
          <w:spacing w:val="-4"/>
          <w:sz w:val="23"/>
        </w:rPr>
        <w:t> </w:t>
      </w:r>
      <w:r>
        <w:rPr>
          <w:sz w:val="23"/>
        </w:rPr>
        <w:t>equipos.</w:t>
      </w:r>
    </w:p>
    <w:p>
      <w:pPr>
        <w:pStyle w:val="ListParagraph"/>
        <w:numPr>
          <w:ilvl w:val="0"/>
          <w:numId w:val="55"/>
        </w:numPr>
        <w:tabs>
          <w:tab w:pos="600" w:val="left" w:leader="none"/>
        </w:tabs>
        <w:spacing w:line="235" w:lineRule="auto" w:before="128" w:after="0"/>
        <w:ind w:left="599" w:right="1054" w:hanging="360"/>
        <w:jc w:val="both"/>
        <w:rPr>
          <w:sz w:val="23"/>
        </w:rPr>
      </w:pPr>
      <w:r>
        <w:rPr>
          <w:sz w:val="23"/>
        </w:rPr>
        <w:t>Falta de un esquema efectivo de recopilación de información estadística sobre demanda de energía en sectores productivos y usos</w:t>
      </w:r>
      <w:r>
        <w:rPr>
          <w:spacing w:val="-6"/>
          <w:sz w:val="23"/>
        </w:rPr>
        <w:t> </w:t>
      </w:r>
      <w:r>
        <w:rPr>
          <w:sz w:val="23"/>
        </w:rPr>
        <w:t>finales.</w:t>
      </w:r>
    </w:p>
    <w:p>
      <w:pPr>
        <w:pStyle w:val="ListParagraph"/>
        <w:numPr>
          <w:ilvl w:val="0"/>
          <w:numId w:val="55"/>
        </w:numPr>
        <w:tabs>
          <w:tab w:pos="600" w:val="left" w:leader="none"/>
        </w:tabs>
        <w:spacing w:line="237" w:lineRule="auto" w:before="127" w:after="0"/>
        <w:ind w:left="599" w:right="1055" w:hanging="360"/>
        <w:jc w:val="both"/>
        <w:rPr>
          <w:sz w:val="23"/>
        </w:rPr>
      </w:pPr>
      <w:r>
        <w:rPr>
          <w:sz w:val="23"/>
        </w:rPr>
        <w:t>Desconfianza en las empresas distribuidoras de energía eléctrica, lo cual dificulta su involucramiento en programas de ahorro de energía, en particular en aquellos en los que estas empresas comercializan equipos eléctricos de alta</w:t>
      </w:r>
      <w:r>
        <w:rPr>
          <w:spacing w:val="-10"/>
          <w:sz w:val="23"/>
        </w:rPr>
        <w:t> </w:t>
      </w:r>
      <w:r>
        <w:rPr>
          <w:sz w:val="23"/>
        </w:rPr>
        <w:t>eficiencia.</w:t>
      </w:r>
    </w:p>
    <w:p>
      <w:pPr>
        <w:pStyle w:val="ListParagraph"/>
        <w:numPr>
          <w:ilvl w:val="0"/>
          <w:numId w:val="55"/>
        </w:numPr>
        <w:tabs>
          <w:tab w:pos="600" w:val="left" w:leader="none"/>
        </w:tabs>
        <w:spacing w:line="240" w:lineRule="auto" w:before="122" w:after="0"/>
        <w:ind w:left="599" w:right="0" w:hanging="361"/>
        <w:jc w:val="both"/>
        <w:rPr>
          <w:sz w:val="23"/>
        </w:rPr>
      </w:pPr>
      <w:r>
        <w:rPr>
          <w:sz w:val="23"/>
        </w:rPr>
        <w:t>Poca experiencia gubernamental sobre el</w:t>
      </w:r>
      <w:r>
        <w:rPr>
          <w:spacing w:val="-18"/>
          <w:sz w:val="23"/>
        </w:rPr>
        <w:t> </w:t>
      </w:r>
      <w:r>
        <w:rPr>
          <w:sz w:val="23"/>
        </w:rPr>
        <w:t>tema.</w:t>
      </w:r>
    </w:p>
    <w:p>
      <w:pPr>
        <w:pStyle w:val="ListParagraph"/>
        <w:numPr>
          <w:ilvl w:val="0"/>
          <w:numId w:val="55"/>
        </w:numPr>
        <w:tabs>
          <w:tab w:pos="599" w:val="left" w:leader="none"/>
          <w:tab w:pos="600" w:val="left" w:leader="none"/>
        </w:tabs>
        <w:spacing w:line="235" w:lineRule="auto" w:before="121" w:after="0"/>
        <w:ind w:left="599" w:right="1054" w:hanging="360"/>
        <w:jc w:val="left"/>
        <w:rPr>
          <w:sz w:val="23"/>
        </w:rPr>
      </w:pPr>
      <w:r>
        <w:rPr>
          <w:sz w:val="23"/>
        </w:rPr>
        <w:t>Las prioridades del gobierno se han centrado en la solución de problemas de suministro y de no pago por parte de clientes</w:t>
      </w:r>
      <w:r>
        <w:rPr>
          <w:spacing w:val="-2"/>
          <w:sz w:val="23"/>
        </w:rPr>
        <w:t> </w:t>
      </w:r>
      <w:r>
        <w:rPr>
          <w:sz w:val="23"/>
        </w:rPr>
        <w:t>finales.</w:t>
      </w:r>
    </w:p>
    <w:p>
      <w:pPr>
        <w:pStyle w:val="ListParagraph"/>
        <w:numPr>
          <w:ilvl w:val="0"/>
          <w:numId w:val="55"/>
        </w:numPr>
        <w:tabs>
          <w:tab w:pos="599" w:val="left" w:leader="none"/>
          <w:tab w:pos="600" w:val="left" w:leader="none"/>
        </w:tabs>
        <w:spacing w:line="235" w:lineRule="auto" w:before="128" w:after="0"/>
        <w:ind w:left="599" w:right="1056" w:hanging="360"/>
        <w:jc w:val="left"/>
        <w:rPr>
          <w:sz w:val="23"/>
        </w:rPr>
      </w:pPr>
      <w:r>
        <w:rPr>
          <w:sz w:val="23"/>
        </w:rPr>
        <w:t>Involucramiento pobre o inexistente de actores sociales y de mercado al proceso de definición de estrategias y</w:t>
      </w:r>
      <w:r>
        <w:rPr>
          <w:spacing w:val="2"/>
          <w:sz w:val="23"/>
        </w:rPr>
        <w:t> </w:t>
      </w:r>
      <w:r>
        <w:rPr>
          <w:sz w:val="23"/>
        </w:rPr>
        <w:t>acciones.</w:t>
      </w:r>
    </w:p>
    <w:p>
      <w:pPr>
        <w:pStyle w:val="ListParagraph"/>
        <w:numPr>
          <w:ilvl w:val="0"/>
          <w:numId w:val="55"/>
        </w:numPr>
        <w:tabs>
          <w:tab w:pos="599" w:val="left" w:leader="none"/>
          <w:tab w:pos="600" w:val="left" w:leader="none"/>
        </w:tabs>
        <w:spacing w:line="235" w:lineRule="auto" w:before="129" w:after="0"/>
        <w:ind w:left="599" w:right="1054" w:hanging="360"/>
        <w:jc w:val="left"/>
        <w:rPr>
          <w:sz w:val="23"/>
        </w:rPr>
      </w:pPr>
      <w:r>
        <w:rPr>
          <w:sz w:val="23"/>
        </w:rPr>
        <w:t>Carencia de un marco legal que oriente con claridad las políticas de uso eficiente de la energía.</w:t>
      </w:r>
    </w:p>
    <w:p>
      <w:pPr>
        <w:pStyle w:val="BodyText"/>
        <w:rPr>
          <w:sz w:val="26"/>
        </w:rPr>
      </w:pPr>
    </w:p>
    <w:p>
      <w:pPr>
        <w:pStyle w:val="Heading3"/>
        <w:rPr>
          <w:i/>
        </w:rPr>
      </w:pPr>
      <w:bookmarkStart w:name="_TOC_250039" w:id="60"/>
      <w:bookmarkEnd w:id="60"/>
      <w:r>
        <w:rPr>
          <w:i/>
          <w:w w:val="110"/>
        </w:rPr>
        <w:t>Barreras técnicas</w:t>
      </w:r>
    </w:p>
    <w:p>
      <w:pPr>
        <w:pStyle w:val="BodyText"/>
        <w:spacing w:before="3"/>
        <w:rPr>
          <w:rFonts w:ascii="Times New Roman"/>
          <w:b/>
          <w:i/>
          <w:sz w:val="25"/>
        </w:rPr>
      </w:pPr>
    </w:p>
    <w:p>
      <w:pPr>
        <w:pStyle w:val="ListParagraph"/>
        <w:numPr>
          <w:ilvl w:val="0"/>
          <w:numId w:val="55"/>
        </w:numPr>
        <w:tabs>
          <w:tab w:pos="600" w:val="left" w:leader="none"/>
        </w:tabs>
        <w:spacing w:line="237" w:lineRule="auto" w:before="1" w:after="0"/>
        <w:ind w:left="599" w:right="1055" w:hanging="360"/>
        <w:jc w:val="both"/>
        <w:rPr>
          <w:sz w:val="23"/>
        </w:rPr>
      </w:pPr>
      <w:r>
        <w:rPr>
          <w:sz w:val="23"/>
        </w:rPr>
        <w:t>Desconocimiento de la tecnología para un uso más eficiente de la energía y sus beneficios por parte de los consumidores, los agentes del mercado, las empresas distribuidoras y los entes gubernamentales encardados de definir las</w:t>
      </w:r>
      <w:r>
        <w:rPr>
          <w:spacing w:val="-10"/>
          <w:sz w:val="23"/>
        </w:rPr>
        <w:t> </w:t>
      </w:r>
      <w:r>
        <w:rPr>
          <w:sz w:val="23"/>
        </w:rPr>
        <w:t>políticas.</w:t>
      </w:r>
    </w:p>
    <w:p>
      <w:pPr>
        <w:pStyle w:val="ListParagraph"/>
        <w:numPr>
          <w:ilvl w:val="0"/>
          <w:numId w:val="55"/>
        </w:numPr>
        <w:tabs>
          <w:tab w:pos="600" w:val="left" w:leader="none"/>
        </w:tabs>
        <w:spacing w:line="235" w:lineRule="auto" w:before="128" w:after="0"/>
        <w:ind w:left="599" w:right="1056" w:hanging="360"/>
        <w:jc w:val="both"/>
        <w:rPr>
          <w:sz w:val="23"/>
        </w:rPr>
      </w:pPr>
      <w:r>
        <w:rPr>
          <w:sz w:val="23"/>
        </w:rPr>
        <w:t>Poca capacidad de medición de variables relacionadas al consumo de energía en instalaciones.</w:t>
      </w:r>
    </w:p>
    <w:p>
      <w:pPr>
        <w:pStyle w:val="ListParagraph"/>
        <w:numPr>
          <w:ilvl w:val="0"/>
          <w:numId w:val="55"/>
        </w:numPr>
        <w:tabs>
          <w:tab w:pos="598" w:val="left" w:leader="none"/>
        </w:tabs>
        <w:spacing w:line="240" w:lineRule="auto" w:before="124" w:after="0"/>
        <w:ind w:left="597" w:right="0" w:hanging="359"/>
        <w:jc w:val="both"/>
        <w:rPr>
          <w:sz w:val="23"/>
        </w:rPr>
      </w:pPr>
      <w:r>
        <w:rPr>
          <w:sz w:val="23"/>
        </w:rPr>
        <w:t>Falta de equipos modernos para auditorías energéticas en el</w:t>
      </w:r>
      <w:r>
        <w:rPr>
          <w:spacing w:val="-6"/>
          <w:sz w:val="23"/>
        </w:rPr>
        <w:t> </w:t>
      </w:r>
      <w:r>
        <w:rPr>
          <w:sz w:val="23"/>
        </w:rPr>
        <w:t>país.</w:t>
      </w:r>
    </w:p>
    <w:p>
      <w:pPr>
        <w:pStyle w:val="BodyText"/>
        <w:spacing w:before="7"/>
        <w:rPr>
          <w:sz w:val="29"/>
        </w:rPr>
      </w:pPr>
    </w:p>
    <w:p>
      <w:pPr>
        <w:pStyle w:val="ListParagraph"/>
        <w:numPr>
          <w:ilvl w:val="0"/>
          <w:numId w:val="55"/>
        </w:numPr>
        <w:tabs>
          <w:tab w:pos="597" w:val="left" w:leader="none"/>
          <w:tab w:pos="598" w:val="left" w:leader="none"/>
        </w:tabs>
        <w:spacing w:line="240" w:lineRule="auto" w:before="0" w:after="0"/>
        <w:ind w:left="597" w:right="0" w:hanging="359"/>
        <w:jc w:val="left"/>
        <w:rPr>
          <w:sz w:val="23"/>
        </w:rPr>
      </w:pPr>
      <w:r>
        <w:rPr>
          <w:sz w:val="23"/>
        </w:rPr>
        <w:t>Riesgos por apagones, lo cual reduce el efecto de las mediadas de eficiencia</w:t>
      </w:r>
      <w:r>
        <w:rPr>
          <w:spacing w:val="-14"/>
          <w:sz w:val="23"/>
        </w:rPr>
        <w:t> </w:t>
      </w:r>
      <w:r>
        <w:rPr>
          <w:sz w:val="23"/>
        </w:rPr>
        <w:t>energética.</w:t>
      </w:r>
    </w:p>
    <w:p>
      <w:pPr>
        <w:spacing w:after="0" w:line="240" w:lineRule="auto"/>
        <w:jc w:val="left"/>
        <w:rPr>
          <w:sz w:val="23"/>
        </w:rPr>
        <w:sectPr>
          <w:pgSz w:w="12240" w:h="15840"/>
          <w:pgMar w:header="718" w:footer="954" w:top="1360" w:bottom="1140" w:left="1200" w:right="380"/>
        </w:sectPr>
      </w:pPr>
    </w:p>
    <w:p>
      <w:pPr>
        <w:pStyle w:val="BodyText"/>
        <w:spacing w:before="8"/>
        <w:rPr>
          <w:sz w:val="11"/>
        </w:rPr>
      </w:pPr>
    </w:p>
    <w:p>
      <w:pPr>
        <w:pStyle w:val="Heading3"/>
        <w:spacing w:before="103"/>
        <w:rPr>
          <w:i/>
        </w:rPr>
      </w:pPr>
      <w:bookmarkStart w:name="_TOC_250038" w:id="61"/>
      <w:bookmarkEnd w:id="61"/>
      <w:r>
        <w:rPr>
          <w:i/>
          <w:w w:val="110"/>
        </w:rPr>
        <w:t>Barreras económicas</w:t>
      </w:r>
    </w:p>
    <w:p>
      <w:pPr>
        <w:pStyle w:val="BodyText"/>
        <w:spacing w:before="3"/>
        <w:rPr>
          <w:rFonts w:ascii="Times New Roman"/>
          <w:b/>
          <w:i/>
          <w:sz w:val="24"/>
        </w:rPr>
      </w:pPr>
    </w:p>
    <w:p>
      <w:pPr>
        <w:pStyle w:val="ListParagraph"/>
        <w:numPr>
          <w:ilvl w:val="0"/>
          <w:numId w:val="55"/>
        </w:numPr>
        <w:tabs>
          <w:tab w:pos="599" w:val="left" w:leader="none"/>
          <w:tab w:pos="600" w:val="left" w:leader="none"/>
        </w:tabs>
        <w:spacing w:line="240" w:lineRule="auto" w:before="0" w:after="0"/>
        <w:ind w:left="599" w:right="0" w:hanging="361"/>
        <w:jc w:val="left"/>
        <w:rPr>
          <w:sz w:val="23"/>
        </w:rPr>
      </w:pPr>
      <w:r>
        <w:rPr>
          <w:sz w:val="23"/>
        </w:rPr>
        <w:t>Alto costo inicial relativo de los equipos y sistemas de uso eficiente de</w:t>
      </w:r>
      <w:r>
        <w:rPr>
          <w:spacing w:val="-13"/>
          <w:sz w:val="23"/>
        </w:rPr>
        <w:t> </w:t>
      </w:r>
      <w:r>
        <w:rPr>
          <w:sz w:val="23"/>
        </w:rPr>
        <w:t>energía.</w:t>
      </w:r>
    </w:p>
    <w:p>
      <w:pPr>
        <w:pStyle w:val="ListParagraph"/>
        <w:numPr>
          <w:ilvl w:val="0"/>
          <w:numId w:val="55"/>
        </w:numPr>
        <w:tabs>
          <w:tab w:pos="599" w:val="left" w:leader="none"/>
          <w:tab w:pos="600" w:val="left" w:leader="none"/>
        </w:tabs>
        <w:spacing w:line="240" w:lineRule="auto" w:before="117" w:after="0"/>
        <w:ind w:left="599" w:right="0" w:hanging="361"/>
        <w:jc w:val="left"/>
        <w:rPr>
          <w:sz w:val="23"/>
        </w:rPr>
      </w:pPr>
      <w:r>
        <w:rPr>
          <w:sz w:val="23"/>
        </w:rPr>
        <w:t>Alto costo de la transacción para proyectos</w:t>
      </w:r>
      <w:r>
        <w:rPr>
          <w:spacing w:val="-2"/>
          <w:sz w:val="23"/>
        </w:rPr>
        <w:t> </w:t>
      </w:r>
      <w:r>
        <w:rPr>
          <w:sz w:val="23"/>
        </w:rPr>
        <w:t>pequeños.</w:t>
      </w:r>
    </w:p>
    <w:p>
      <w:pPr>
        <w:pStyle w:val="ListParagraph"/>
        <w:numPr>
          <w:ilvl w:val="0"/>
          <w:numId w:val="55"/>
        </w:numPr>
        <w:tabs>
          <w:tab w:pos="599" w:val="left" w:leader="none"/>
          <w:tab w:pos="600" w:val="left" w:leader="none"/>
        </w:tabs>
        <w:spacing w:line="240" w:lineRule="auto" w:before="117" w:after="0"/>
        <w:ind w:left="600" w:right="0" w:hanging="361"/>
        <w:jc w:val="left"/>
        <w:rPr>
          <w:sz w:val="23"/>
        </w:rPr>
      </w:pPr>
      <w:r>
        <w:rPr>
          <w:sz w:val="23"/>
        </w:rPr>
        <w:t>Fácil acceso a equipos de segunda mano poco</w:t>
      </w:r>
      <w:r>
        <w:rPr>
          <w:spacing w:val="-3"/>
          <w:sz w:val="23"/>
        </w:rPr>
        <w:t> </w:t>
      </w:r>
      <w:r>
        <w:rPr>
          <w:sz w:val="23"/>
        </w:rPr>
        <w:t>eficientes.</w:t>
      </w:r>
    </w:p>
    <w:p>
      <w:pPr>
        <w:pStyle w:val="ListParagraph"/>
        <w:numPr>
          <w:ilvl w:val="0"/>
          <w:numId w:val="55"/>
        </w:numPr>
        <w:tabs>
          <w:tab w:pos="599" w:val="left" w:leader="none"/>
          <w:tab w:pos="600" w:val="left" w:leader="none"/>
        </w:tabs>
        <w:spacing w:line="240" w:lineRule="auto" w:before="119" w:after="0"/>
        <w:ind w:left="599" w:right="0" w:hanging="361"/>
        <w:jc w:val="left"/>
        <w:rPr>
          <w:sz w:val="23"/>
        </w:rPr>
      </w:pPr>
      <w:r>
        <w:rPr>
          <w:sz w:val="23"/>
        </w:rPr>
        <w:t>Falta de financiamiento en términos</w:t>
      </w:r>
      <w:r>
        <w:rPr>
          <w:spacing w:val="-5"/>
          <w:sz w:val="23"/>
        </w:rPr>
        <w:t> </w:t>
      </w:r>
      <w:r>
        <w:rPr>
          <w:sz w:val="23"/>
        </w:rPr>
        <w:t>adecuados.</w:t>
      </w:r>
    </w:p>
    <w:p>
      <w:pPr>
        <w:pStyle w:val="ListParagraph"/>
        <w:numPr>
          <w:ilvl w:val="0"/>
          <w:numId w:val="55"/>
        </w:numPr>
        <w:tabs>
          <w:tab w:pos="600" w:val="left" w:leader="none"/>
        </w:tabs>
        <w:spacing w:line="237" w:lineRule="auto" w:before="119" w:after="0"/>
        <w:ind w:left="599" w:right="1055" w:hanging="360"/>
        <w:jc w:val="both"/>
        <w:rPr>
          <w:sz w:val="23"/>
        </w:rPr>
      </w:pPr>
      <w:r>
        <w:rPr>
          <w:sz w:val="23"/>
        </w:rPr>
        <w:t>Subsidios a los usuarios. Los subsidios hacen que haya rentabilidad mínima o nula en medidas de ahorro de energía y que, más bien, sirvan para fomentar el desperdicio de la</w:t>
      </w:r>
      <w:r>
        <w:rPr>
          <w:spacing w:val="-1"/>
          <w:sz w:val="23"/>
        </w:rPr>
        <w:t> </w:t>
      </w:r>
      <w:r>
        <w:rPr>
          <w:sz w:val="23"/>
        </w:rPr>
        <w:t>misma.</w:t>
      </w:r>
    </w:p>
    <w:p>
      <w:pPr>
        <w:pStyle w:val="BodyText"/>
        <w:spacing w:before="9"/>
        <w:rPr>
          <w:sz w:val="35"/>
        </w:rPr>
      </w:pPr>
    </w:p>
    <w:p>
      <w:pPr>
        <w:pStyle w:val="Heading3"/>
        <w:rPr>
          <w:i/>
        </w:rPr>
      </w:pPr>
      <w:bookmarkStart w:name="_TOC_250037" w:id="62"/>
      <w:bookmarkEnd w:id="62"/>
      <w:r>
        <w:rPr>
          <w:i/>
          <w:w w:val="110"/>
        </w:rPr>
        <w:t>Barreras sociales</w:t>
      </w:r>
    </w:p>
    <w:p>
      <w:pPr>
        <w:pStyle w:val="BodyText"/>
        <w:spacing w:before="3"/>
        <w:rPr>
          <w:rFonts w:ascii="Times New Roman"/>
          <w:b/>
          <w:i/>
          <w:sz w:val="24"/>
        </w:rPr>
      </w:pPr>
    </w:p>
    <w:p>
      <w:pPr>
        <w:pStyle w:val="ListParagraph"/>
        <w:numPr>
          <w:ilvl w:val="0"/>
          <w:numId w:val="55"/>
        </w:numPr>
        <w:tabs>
          <w:tab w:pos="599" w:val="left" w:leader="none"/>
          <w:tab w:pos="600" w:val="left" w:leader="none"/>
        </w:tabs>
        <w:spacing w:line="237" w:lineRule="auto" w:before="0" w:after="0"/>
        <w:ind w:left="600" w:right="1054" w:hanging="361"/>
        <w:jc w:val="left"/>
        <w:rPr>
          <w:sz w:val="23"/>
        </w:rPr>
      </w:pPr>
      <w:r>
        <w:rPr>
          <w:sz w:val="23"/>
        </w:rPr>
        <w:t>Necesidades sociales insatisfechas </w:t>
      </w:r>
      <w:r>
        <w:rPr>
          <w:sz w:val="20"/>
        </w:rPr>
        <w:t>establecen </w:t>
      </w:r>
      <w:r>
        <w:rPr>
          <w:sz w:val="23"/>
        </w:rPr>
        <w:t>otras prioridades en el gasto Y privilegian el acceso a los servicios energéticos frente al costo de operación de</w:t>
      </w:r>
      <w:r>
        <w:rPr>
          <w:spacing w:val="-9"/>
          <w:sz w:val="23"/>
        </w:rPr>
        <w:t> </w:t>
      </w:r>
      <w:r>
        <w:rPr>
          <w:sz w:val="23"/>
        </w:rPr>
        <w:t>éstos.</w:t>
      </w:r>
    </w:p>
    <w:p>
      <w:pPr>
        <w:pStyle w:val="ListParagraph"/>
        <w:numPr>
          <w:ilvl w:val="0"/>
          <w:numId w:val="55"/>
        </w:numPr>
        <w:tabs>
          <w:tab w:pos="599" w:val="left" w:leader="none"/>
          <w:tab w:pos="601" w:val="left" w:leader="none"/>
        </w:tabs>
        <w:spacing w:line="240" w:lineRule="auto" w:before="121" w:after="0"/>
        <w:ind w:left="600" w:right="0" w:hanging="361"/>
        <w:jc w:val="left"/>
        <w:rPr>
          <w:sz w:val="23"/>
        </w:rPr>
      </w:pPr>
      <w:r>
        <w:rPr>
          <w:sz w:val="23"/>
        </w:rPr>
        <w:t>Cultura del no pago y del</w:t>
      </w:r>
      <w:r>
        <w:rPr>
          <w:spacing w:val="-3"/>
          <w:sz w:val="23"/>
        </w:rPr>
        <w:t> </w:t>
      </w:r>
      <w:r>
        <w:rPr>
          <w:sz w:val="23"/>
        </w:rPr>
        <w:t>subsidio.</w:t>
      </w:r>
    </w:p>
    <w:p>
      <w:pPr>
        <w:pStyle w:val="ListParagraph"/>
        <w:numPr>
          <w:ilvl w:val="0"/>
          <w:numId w:val="55"/>
        </w:numPr>
        <w:tabs>
          <w:tab w:pos="599" w:val="left" w:leader="none"/>
          <w:tab w:pos="601" w:val="left" w:leader="none"/>
        </w:tabs>
        <w:spacing w:line="240" w:lineRule="auto" w:before="116" w:after="0"/>
        <w:ind w:left="600" w:right="0" w:hanging="361"/>
        <w:jc w:val="left"/>
        <w:rPr>
          <w:sz w:val="23"/>
        </w:rPr>
      </w:pPr>
      <w:r>
        <w:rPr>
          <w:sz w:val="23"/>
        </w:rPr>
        <w:t>Poco conocimiento sobre tecnologías o prácticas de uso eficiente de la</w:t>
      </w:r>
      <w:r>
        <w:rPr>
          <w:spacing w:val="-7"/>
          <w:sz w:val="23"/>
        </w:rPr>
        <w:t> </w:t>
      </w:r>
      <w:r>
        <w:rPr>
          <w:sz w:val="23"/>
        </w:rPr>
        <w:t>energía.</w:t>
      </w:r>
    </w:p>
    <w:p>
      <w:pPr>
        <w:pStyle w:val="ListParagraph"/>
        <w:numPr>
          <w:ilvl w:val="0"/>
          <w:numId w:val="55"/>
        </w:numPr>
        <w:tabs>
          <w:tab w:pos="599" w:val="left" w:leader="none"/>
          <w:tab w:pos="600" w:val="left" w:leader="none"/>
        </w:tabs>
        <w:spacing w:line="235" w:lineRule="auto" w:before="124" w:after="0"/>
        <w:ind w:left="600" w:right="1055" w:hanging="360"/>
        <w:jc w:val="left"/>
        <w:rPr>
          <w:sz w:val="23"/>
        </w:rPr>
      </w:pPr>
      <w:r>
        <w:rPr>
          <w:sz w:val="23"/>
        </w:rPr>
        <w:t>Desconfianza en las autoridades, lo cual entorpece el éxito de las iniciativas gubernamentales.</w:t>
      </w:r>
    </w:p>
    <w:p>
      <w:pPr>
        <w:pStyle w:val="BodyText"/>
        <w:rPr>
          <w:sz w:val="28"/>
        </w:rPr>
      </w:pPr>
    </w:p>
    <w:p>
      <w:pPr>
        <w:pStyle w:val="BodyText"/>
        <w:spacing w:before="2"/>
        <w:rPr>
          <w:sz w:val="41"/>
        </w:rPr>
      </w:pPr>
    </w:p>
    <w:p>
      <w:pPr>
        <w:pStyle w:val="Heading2"/>
        <w:numPr>
          <w:ilvl w:val="1"/>
          <w:numId w:val="54"/>
        </w:numPr>
        <w:tabs>
          <w:tab w:pos="1300" w:val="left" w:leader="none"/>
          <w:tab w:pos="1301" w:val="left" w:leader="none"/>
          <w:tab w:pos="3864" w:val="left" w:leader="none"/>
          <w:tab w:pos="4456" w:val="left" w:leader="none"/>
          <w:tab w:pos="6084" w:val="left" w:leader="none"/>
        </w:tabs>
        <w:spacing w:line="240" w:lineRule="auto" w:before="0" w:after="0"/>
        <w:ind w:left="1319" w:right="1058" w:hanging="1080"/>
        <w:jc w:val="left"/>
      </w:pPr>
      <w:bookmarkStart w:name="_TOC_250036" w:id="63"/>
      <w:r>
        <w:rPr/>
        <w:t>INSTRUMENTOS</w:t>
        <w:tab/>
        <w:t>DE</w:t>
        <w:tab/>
        <w:t>POLÍTICA</w:t>
        <w:tab/>
        <w:t>PARA IMPLANTAR </w:t>
      </w:r>
      <w:r>
        <w:rPr>
          <w:spacing w:val="-4"/>
        </w:rPr>
        <w:t>LOS </w:t>
      </w:r>
      <w:r>
        <w:rPr/>
        <w:t>PROGRAMAS</w:t>
      </w:r>
      <w:r>
        <w:rPr>
          <w:spacing w:val="88"/>
        </w:rPr>
        <w:t> </w:t>
      </w:r>
      <w:bookmarkEnd w:id="63"/>
      <w:r>
        <w:rPr/>
        <w:t>URE</w:t>
      </w:r>
    </w:p>
    <w:p>
      <w:pPr>
        <w:pStyle w:val="BodyText"/>
        <w:spacing w:before="10"/>
        <w:rPr>
          <w:rFonts w:ascii="Verdana"/>
          <w:b/>
        </w:rPr>
      </w:pPr>
    </w:p>
    <w:p>
      <w:pPr>
        <w:pStyle w:val="BodyText"/>
        <w:spacing w:before="1"/>
        <w:ind w:left="240" w:right="1055"/>
        <w:jc w:val="both"/>
      </w:pPr>
      <w:r>
        <w:rPr/>
        <w:t>El objetivo mínimo y fundamental de la política pública para la eficiencia energética debe ser el identificar y eliminar los obstáculos o barreras que impiden que los usuarios de energía opten por las alternativas económicas (rentables para los usuarios) de mayor eficiencia</w:t>
      </w:r>
      <w:r>
        <w:rPr>
          <w:spacing w:val="-2"/>
        </w:rPr>
        <w:t> </w:t>
      </w:r>
      <w:r>
        <w:rPr/>
        <w:t>energética.</w:t>
      </w:r>
    </w:p>
    <w:p>
      <w:pPr>
        <w:pStyle w:val="BodyText"/>
        <w:spacing w:before="1"/>
      </w:pPr>
    </w:p>
    <w:p>
      <w:pPr>
        <w:pStyle w:val="BodyText"/>
        <w:ind w:left="240" w:right="1055"/>
        <w:jc w:val="both"/>
      </w:pPr>
      <w:r>
        <w:rPr/>
        <w:t>Los instrumentos de política pública que se pueden utilizar para eliminar los obstáculos que impiden lograr la eficiencia energética que es económica se pueden clasificar en cinco categorías:</w:t>
      </w:r>
    </w:p>
    <w:p>
      <w:pPr>
        <w:pStyle w:val="BodyText"/>
        <w:spacing w:before="4"/>
      </w:pPr>
    </w:p>
    <w:p>
      <w:pPr>
        <w:pStyle w:val="ListParagraph"/>
        <w:numPr>
          <w:ilvl w:val="0"/>
          <w:numId w:val="55"/>
        </w:numPr>
        <w:tabs>
          <w:tab w:pos="599" w:val="left" w:leader="none"/>
          <w:tab w:pos="600" w:val="left" w:leader="none"/>
        </w:tabs>
        <w:spacing w:line="235" w:lineRule="auto" w:before="0" w:after="0"/>
        <w:ind w:left="599" w:right="1056" w:hanging="360"/>
        <w:jc w:val="left"/>
        <w:rPr>
          <w:sz w:val="23"/>
        </w:rPr>
      </w:pPr>
      <w:r>
        <w:rPr>
          <w:b/>
          <w:sz w:val="23"/>
        </w:rPr>
        <w:t>Precios de los energéticos que reflejen sus costos económicos reales. </w:t>
      </w:r>
      <w:r>
        <w:rPr>
          <w:sz w:val="23"/>
        </w:rPr>
        <w:t>Esta es la medida más clara de política para promover la eficiencia</w:t>
      </w:r>
      <w:r>
        <w:rPr>
          <w:spacing w:val="-12"/>
          <w:sz w:val="23"/>
        </w:rPr>
        <w:t> </w:t>
      </w:r>
      <w:r>
        <w:rPr>
          <w:sz w:val="23"/>
        </w:rPr>
        <w:t>energética.</w:t>
      </w:r>
    </w:p>
    <w:p>
      <w:pPr>
        <w:pStyle w:val="BodyText"/>
        <w:spacing w:before="7"/>
      </w:pPr>
    </w:p>
    <w:p>
      <w:pPr>
        <w:pStyle w:val="ListParagraph"/>
        <w:numPr>
          <w:ilvl w:val="0"/>
          <w:numId w:val="55"/>
        </w:numPr>
        <w:tabs>
          <w:tab w:pos="600" w:val="left" w:leader="none"/>
        </w:tabs>
        <w:spacing w:line="237" w:lineRule="auto" w:before="0" w:after="0"/>
        <w:ind w:left="599" w:right="1054" w:hanging="360"/>
        <w:jc w:val="both"/>
        <w:rPr>
          <w:sz w:val="23"/>
        </w:rPr>
      </w:pPr>
      <w:r>
        <w:rPr>
          <w:b/>
          <w:sz w:val="23"/>
        </w:rPr>
        <w:t>Conversión obligatoria de equipos y sistemas para maximizar su eficiencia energética. </w:t>
      </w:r>
      <w:r>
        <w:rPr>
          <w:sz w:val="23"/>
        </w:rPr>
        <w:t>Las normas de eficiencia energética han demostrado ser un instrumento de política pública con gran eficiencia económica desde la perspectiva del usuario de energía y de la sociedad en general.</w:t>
      </w:r>
    </w:p>
    <w:p>
      <w:pPr>
        <w:spacing w:after="0" w:line="237" w:lineRule="auto"/>
        <w:jc w:val="both"/>
        <w:rPr>
          <w:sz w:val="23"/>
        </w:rPr>
        <w:sectPr>
          <w:pgSz w:w="12240" w:h="15840"/>
          <w:pgMar w:header="718" w:footer="954" w:top="1360" w:bottom="1140" w:left="1200" w:right="380"/>
        </w:sectPr>
      </w:pPr>
    </w:p>
    <w:p>
      <w:pPr>
        <w:pStyle w:val="BodyText"/>
        <w:spacing w:before="6"/>
        <w:rPr>
          <w:sz w:val="11"/>
        </w:rPr>
      </w:pPr>
    </w:p>
    <w:p>
      <w:pPr>
        <w:pStyle w:val="ListParagraph"/>
        <w:numPr>
          <w:ilvl w:val="0"/>
          <w:numId w:val="55"/>
        </w:numPr>
        <w:tabs>
          <w:tab w:pos="600" w:val="left" w:leader="none"/>
        </w:tabs>
        <w:spacing w:line="240" w:lineRule="auto" w:before="100" w:after="0"/>
        <w:ind w:left="600" w:right="1054" w:hanging="360"/>
        <w:jc w:val="both"/>
        <w:rPr>
          <w:sz w:val="23"/>
        </w:rPr>
      </w:pPr>
      <w:r>
        <w:rPr>
          <w:b/>
          <w:sz w:val="23"/>
        </w:rPr>
        <w:t>Apoyar el desarrollo de capacidad para que los usuarios puedan identificar y aprovechar las oportunidades económicas. </w:t>
      </w:r>
      <w:r>
        <w:rPr>
          <w:sz w:val="23"/>
        </w:rPr>
        <w:t>Los usuarios de energía, aún cuando tengan oportunidades de ahorro de energía que les son económicas, no toman la decisión de aprovechar estas oportunidades por no tener la información ni los  elementos para conocerlas y evaluarlas. Para eliminar este obstáculo, la política pública puede manejar tres niveles de</w:t>
      </w:r>
      <w:r>
        <w:rPr>
          <w:spacing w:val="-2"/>
          <w:sz w:val="23"/>
        </w:rPr>
        <w:t> </w:t>
      </w:r>
      <w:r>
        <w:rPr>
          <w:sz w:val="23"/>
        </w:rPr>
        <w:t>instrumentos:</w:t>
      </w:r>
    </w:p>
    <w:p>
      <w:pPr>
        <w:pStyle w:val="BodyText"/>
      </w:pPr>
    </w:p>
    <w:p>
      <w:pPr>
        <w:pStyle w:val="ListParagraph"/>
        <w:numPr>
          <w:ilvl w:val="1"/>
          <w:numId w:val="55"/>
        </w:numPr>
        <w:tabs>
          <w:tab w:pos="960" w:val="left" w:leader="none"/>
        </w:tabs>
        <w:spacing w:line="237" w:lineRule="auto" w:before="0" w:after="0"/>
        <w:ind w:left="959" w:right="1054" w:hanging="360"/>
        <w:jc w:val="both"/>
        <w:rPr>
          <w:sz w:val="23"/>
        </w:rPr>
      </w:pPr>
      <w:r>
        <w:rPr>
          <w:sz w:val="23"/>
          <w:u w:val="single"/>
        </w:rPr>
        <w:t>Información.</w:t>
      </w:r>
      <w:r>
        <w:rPr>
          <w:sz w:val="23"/>
        </w:rPr>
        <w:t> Se ha identificado que uno de los obstáculos más importantes para el aprovechamiento cabal de las oportunidades de ahorro de energía es la falta de datos no sólo en cuanto a los costos de operación (precios y tarifas) sino también en cuanto a los costos de inversión (dispositivos de sustitución) y los costos de transacción (costo de ubicar, diseñar e implementar la medida) que permiten determinar, por parte de los usuarios de energía, si les conviene hacer la inversión, esto en función de la tasa interna de retorno de sus alternativas de eficiencia energética.</w:t>
      </w:r>
    </w:p>
    <w:p>
      <w:pPr>
        <w:pStyle w:val="BodyText"/>
      </w:pPr>
    </w:p>
    <w:p>
      <w:pPr>
        <w:pStyle w:val="ListParagraph"/>
        <w:numPr>
          <w:ilvl w:val="1"/>
          <w:numId w:val="55"/>
        </w:numPr>
        <w:tabs>
          <w:tab w:pos="960" w:val="left" w:leader="none"/>
        </w:tabs>
        <w:spacing w:line="237" w:lineRule="auto" w:before="0" w:after="0"/>
        <w:ind w:left="960" w:right="1053" w:hanging="360"/>
        <w:jc w:val="both"/>
        <w:rPr>
          <w:sz w:val="23"/>
        </w:rPr>
      </w:pPr>
      <w:r>
        <w:rPr>
          <w:sz w:val="23"/>
          <w:u w:val="single"/>
        </w:rPr>
        <w:t>Educación.</w:t>
      </w:r>
      <w:r>
        <w:rPr>
          <w:sz w:val="23"/>
        </w:rPr>
        <w:t> La educación, entendida como un proceso de adquisición de prácticas y conocimientos generados en diversos contextos y situaciones, es un elemento fundamental en el desarrollo de competencias para el uso racional de la energía a todos niveles, desde el hogar hasta las grandes instalaciones industriales. La política pública debe llevar, por lo tanto, a que la población en general disponga de los conocimientos y prácticas que lleven a un uso más eficiente de la energía. Igualmente, es necesario crear cuadros profesionales que se desarrollen en los temas relacionados a la eficiencia energética y que puedan operar sistemas eficientemente y desarrollar proyectos de aprovechamiento de las oportunidades de ahorro de energía.</w:t>
      </w:r>
    </w:p>
    <w:p>
      <w:pPr>
        <w:pStyle w:val="BodyText"/>
        <w:spacing w:before="10"/>
      </w:pPr>
    </w:p>
    <w:p>
      <w:pPr>
        <w:pStyle w:val="ListParagraph"/>
        <w:numPr>
          <w:ilvl w:val="1"/>
          <w:numId w:val="55"/>
        </w:numPr>
        <w:tabs>
          <w:tab w:pos="960" w:val="left" w:leader="none"/>
        </w:tabs>
        <w:spacing w:line="232" w:lineRule="auto" w:before="0" w:after="0"/>
        <w:ind w:left="959" w:right="1056" w:hanging="360"/>
        <w:jc w:val="both"/>
        <w:rPr>
          <w:sz w:val="23"/>
        </w:rPr>
      </w:pPr>
      <w:r>
        <w:rPr>
          <w:sz w:val="23"/>
          <w:u w:val="single"/>
        </w:rPr>
        <w:t>Capacidades organizacionales para identificación de oportunidades.</w:t>
      </w:r>
      <w:r>
        <w:rPr>
          <w:sz w:val="23"/>
        </w:rPr>
        <w:t> Es necesario que exista un nivel mínimo de organización y capacitación interna en las empresas e instituciones para poder sistematizar el trabajo. Bajo esta perspectiva existen tres posibles líneas de acción promovidas por el</w:t>
      </w:r>
      <w:r>
        <w:rPr>
          <w:spacing w:val="-2"/>
          <w:sz w:val="23"/>
        </w:rPr>
        <w:t> </w:t>
      </w:r>
      <w:r>
        <w:rPr>
          <w:sz w:val="23"/>
        </w:rPr>
        <w:t>Estado:</w:t>
      </w:r>
    </w:p>
    <w:p>
      <w:pPr>
        <w:pStyle w:val="BodyText"/>
        <w:spacing w:before="4"/>
      </w:pPr>
    </w:p>
    <w:p>
      <w:pPr>
        <w:pStyle w:val="ListParagraph"/>
        <w:numPr>
          <w:ilvl w:val="2"/>
          <w:numId w:val="55"/>
        </w:numPr>
        <w:tabs>
          <w:tab w:pos="1412" w:val="left" w:leader="none"/>
        </w:tabs>
        <w:spacing w:line="240" w:lineRule="auto" w:before="0" w:after="0"/>
        <w:ind w:left="1411" w:right="1055" w:hanging="452"/>
        <w:jc w:val="both"/>
        <w:rPr>
          <w:sz w:val="23"/>
        </w:rPr>
      </w:pPr>
      <w:r>
        <w:rPr>
          <w:sz w:val="23"/>
          <w:u w:val="single"/>
        </w:rPr>
        <w:t>Acción directa.</w:t>
      </w:r>
      <w:r>
        <w:rPr>
          <w:sz w:val="23"/>
        </w:rPr>
        <w:t> Esto implica tener disponible esa capacidad de soporte técnico por parte del Estado mediante una agencia</w:t>
      </w:r>
      <w:r>
        <w:rPr>
          <w:spacing w:val="-6"/>
          <w:sz w:val="23"/>
        </w:rPr>
        <w:t> </w:t>
      </w:r>
      <w:r>
        <w:rPr>
          <w:sz w:val="23"/>
        </w:rPr>
        <w:t>especializada.</w:t>
      </w:r>
    </w:p>
    <w:p>
      <w:pPr>
        <w:pStyle w:val="BodyText"/>
      </w:pPr>
    </w:p>
    <w:p>
      <w:pPr>
        <w:pStyle w:val="ListParagraph"/>
        <w:numPr>
          <w:ilvl w:val="2"/>
          <w:numId w:val="55"/>
        </w:numPr>
        <w:tabs>
          <w:tab w:pos="1412" w:val="left" w:leader="none"/>
        </w:tabs>
        <w:spacing w:line="240" w:lineRule="auto" w:before="0" w:after="0"/>
        <w:ind w:left="1411" w:right="1055" w:hanging="452"/>
        <w:jc w:val="both"/>
        <w:rPr>
          <w:sz w:val="23"/>
        </w:rPr>
      </w:pPr>
      <w:r>
        <w:rPr>
          <w:sz w:val="23"/>
          <w:u w:val="single"/>
        </w:rPr>
        <w:t>Desarrollo de capacidades privadas externas al usuario de energía (consultores).</w:t>
      </w:r>
      <w:r>
        <w:rPr>
          <w:sz w:val="23"/>
        </w:rPr>
        <w:t> En esta dirección la política pública se orienta a crear los mercados y los incentivos para la gestación y desarrollo de estos actores</w:t>
      </w:r>
      <w:r>
        <w:rPr>
          <w:spacing w:val="-10"/>
          <w:sz w:val="23"/>
        </w:rPr>
        <w:t> </w:t>
      </w:r>
      <w:r>
        <w:rPr>
          <w:sz w:val="23"/>
        </w:rPr>
        <w:t>económicos.</w:t>
      </w:r>
    </w:p>
    <w:p>
      <w:pPr>
        <w:pStyle w:val="BodyText"/>
        <w:spacing w:before="1"/>
      </w:pPr>
    </w:p>
    <w:p>
      <w:pPr>
        <w:pStyle w:val="ListParagraph"/>
        <w:numPr>
          <w:ilvl w:val="2"/>
          <w:numId w:val="55"/>
        </w:numPr>
        <w:tabs>
          <w:tab w:pos="1412" w:val="left" w:leader="none"/>
        </w:tabs>
        <w:spacing w:line="240" w:lineRule="auto" w:before="0" w:after="0"/>
        <w:ind w:left="1411" w:right="1056" w:hanging="452"/>
        <w:jc w:val="both"/>
        <w:rPr>
          <w:sz w:val="23"/>
        </w:rPr>
      </w:pPr>
      <w:r>
        <w:rPr>
          <w:sz w:val="23"/>
          <w:u w:val="single"/>
        </w:rPr>
        <w:t>Desarrollo de capacidades internas al usuario de energía</w:t>
      </w:r>
      <w:r>
        <w:rPr>
          <w:sz w:val="23"/>
        </w:rPr>
        <w:t>. Es en esta línea donde tiene un papel fundamental la capacitación y donde el papel del Estado tiene que ver con el desarrollo de programas de capacitación de amplio</w:t>
      </w:r>
      <w:r>
        <w:rPr>
          <w:spacing w:val="-11"/>
          <w:sz w:val="23"/>
        </w:rPr>
        <w:t> </w:t>
      </w:r>
      <w:r>
        <w:rPr>
          <w:sz w:val="23"/>
        </w:rPr>
        <w:t>alcance.</w:t>
      </w:r>
    </w:p>
    <w:p>
      <w:pPr>
        <w:spacing w:after="0" w:line="240" w:lineRule="auto"/>
        <w:jc w:val="both"/>
        <w:rPr>
          <w:sz w:val="23"/>
        </w:rPr>
        <w:sectPr>
          <w:pgSz w:w="12240" w:h="15840"/>
          <w:pgMar w:header="718" w:footer="954" w:top="1360" w:bottom="1140" w:left="1200" w:right="380"/>
        </w:sectPr>
      </w:pPr>
    </w:p>
    <w:p>
      <w:pPr>
        <w:pStyle w:val="BodyText"/>
        <w:spacing w:before="6"/>
        <w:rPr>
          <w:sz w:val="11"/>
        </w:rPr>
      </w:pPr>
    </w:p>
    <w:p>
      <w:pPr>
        <w:pStyle w:val="ListParagraph"/>
        <w:numPr>
          <w:ilvl w:val="0"/>
          <w:numId w:val="55"/>
        </w:numPr>
        <w:tabs>
          <w:tab w:pos="600" w:val="left" w:leader="none"/>
        </w:tabs>
        <w:spacing w:line="240" w:lineRule="auto" w:before="100" w:after="0"/>
        <w:ind w:left="599" w:right="1053" w:hanging="360"/>
        <w:jc w:val="both"/>
        <w:rPr>
          <w:sz w:val="23"/>
        </w:rPr>
      </w:pPr>
      <w:r>
        <w:rPr>
          <w:b/>
          <w:sz w:val="23"/>
        </w:rPr>
        <w:t>Desarrollo de mercados de productos y servicios asociados a la eficiencia energética. </w:t>
      </w:r>
      <w:r>
        <w:rPr>
          <w:sz w:val="23"/>
        </w:rPr>
        <w:t>Muchos de los productos y servicios que están asociados a la eficiencia energética no tienen mercados lo suficientemente amplios como para aprovechar economías de escala, lo que los encarece y, por lo tanto, limita el que sean adoptados en función de decisiones de eficiencia económica por parte de los usuarios de energía. La política pública puede utilizar, ya sea a través de los productores o de los proveedores de equipos y sistemas, o del usuario final, de instrumentos para que estos productos y servicios sean adoptados en términos de su eficiencia económica para el usuario de energía. En este sentido los incentivos fiscales ó los financiamientos a tasas preferenciales son los instrumentos más utilizados, pero también estos mercados pueden ser empujados con programas de información y promoción que incluyan ferias, seminarios y talleres de demostración de tecnología y que sean realizados por iniciativa del</w:t>
      </w:r>
      <w:r>
        <w:rPr>
          <w:spacing w:val="-1"/>
          <w:sz w:val="23"/>
        </w:rPr>
        <w:t> </w:t>
      </w:r>
      <w:r>
        <w:rPr>
          <w:sz w:val="23"/>
        </w:rPr>
        <w:t>Estado.</w:t>
      </w:r>
    </w:p>
    <w:p>
      <w:pPr>
        <w:pStyle w:val="BodyText"/>
        <w:spacing w:before="9"/>
        <w:rPr>
          <w:sz w:val="22"/>
        </w:rPr>
      </w:pPr>
    </w:p>
    <w:p>
      <w:pPr>
        <w:pStyle w:val="ListParagraph"/>
        <w:numPr>
          <w:ilvl w:val="0"/>
          <w:numId w:val="55"/>
        </w:numPr>
        <w:tabs>
          <w:tab w:pos="600" w:val="left" w:leader="none"/>
        </w:tabs>
        <w:spacing w:line="240" w:lineRule="auto" w:before="0" w:after="0"/>
        <w:ind w:left="599" w:right="1054" w:hanging="360"/>
        <w:jc w:val="both"/>
        <w:rPr>
          <w:sz w:val="23"/>
        </w:rPr>
      </w:pPr>
      <w:r>
        <w:rPr>
          <w:b/>
          <w:sz w:val="23"/>
        </w:rPr>
        <w:t>Internalización de externalidades positivas a través de normas ambientales. </w:t>
      </w:r>
      <w:r>
        <w:rPr>
          <w:sz w:val="23"/>
        </w:rPr>
        <w:t>El ahorro de energía tiene entre sus beneficios el de atenuar los impactos ambientales de la producción, transporte y consumo final de la energía. En un contexto de crecientes restricciones sobre las emisiones al medio ambiente de productos de la combustión, se presentan oportunidades económicas de transferencias de derechos de emisiones de estos contaminantes. Los instrumentos de política, en este caso, tienen que ver con la autoridad ambiental, quien es quien define estos límites en las emisiones y, en su caso las reglas de transferencia de los derechos de</w:t>
      </w:r>
      <w:r>
        <w:rPr>
          <w:spacing w:val="-3"/>
          <w:sz w:val="23"/>
        </w:rPr>
        <w:t> </w:t>
      </w:r>
      <w:r>
        <w:rPr>
          <w:sz w:val="23"/>
        </w:rPr>
        <w:t>emisión.</w:t>
      </w:r>
    </w:p>
    <w:p>
      <w:pPr>
        <w:pStyle w:val="BodyText"/>
        <w:rPr>
          <w:sz w:val="28"/>
        </w:rPr>
      </w:pPr>
    </w:p>
    <w:p>
      <w:pPr>
        <w:pStyle w:val="Heading4"/>
        <w:numPr>
          <w:ilvl w:val="1"/>
          <w:numId w:val="54"/>
        </w:numPr>
        <w:tabs>
          <w:tab w:pos="945" w:val="left" w:leader="none"/>
          <w:tab w:pos="946" w:val="left" w:leader="none"/>
        </w:tabs>
        <w:spacing w:line="240" w:lineRule="auto" w:before="216" w:after="0"/>
        <w:ind w:left="945" w:right="0" w:hanging="707"/>
        <w:jc w:val="left"/>
      </w:pPr>
      <w:bookmarkStart w:name="_TOC_250035" w:id="64"/>
      <w:r>
        <w:rPr/>
        <w:t>LÍNEAS DE</w:t>
      </w:r>
      <w:r>
        <w:rPr>
          <w:spacing w:val="-2"/>
        </w:rPr>
        <w:t> </w:t>
      </w:r>
      <w:bookmarkEnd w:id="64"/>
      <w:r>
        <w:rPr/>
        <w:t>ACCIÓN</w:t>
      </w:r>
    </w:p>
    <w:p>
      <w:pPr>
        <w:pStyle w:val="BodyText"/>
        <w:spacing w:before="8"/>
        <w:rPr>
          <w:rFonts w:ascii="Verdana"/>
          <w:b/>
        </w:rPr>
      </w:pPr>
    </w:p>
    <w:p>
      <w:pPr>
        <w:pStyle w:val="BodyText"/>
        <w:spacing w:before="1"/>
        <w:ind w:left="239" w:right="1060"/>
      </w:pPr>
      <w:r>
        <w:rPr/>
        <w:t>De manera más específica, las líneas de acción sobre las cuales se diseñan programas de uso eficiente de la energía son ocho:</w:t>
      </w:r>
    </w:p>
    <w:p>
      <w:pPr>
        <w:pStyle w:val="BodyText"/>
        <w:spacing w:before="6"/>
        <w:rPr>
          <w:sz w:val="22"/>
        </w:rPr>
      </w:pPr>
    </w:p>
    <w:p>
      <w:pPr>
        <w:pStyle w:val="ListParagraph"/>
        <w:numPr>
          <w:ilvl w:val="0"/>
          <w:numId w:val="55"/>
        </w:numPr>
        <w:tabs>
          <w:tab w:pos="600" w:val="left" w:leader="none"/>
        </w:tabs>
        <w:spacing w:line="237" w:lineRule="auto" w:before="0" w:after="0"/>
        <w:ind w:left="600" w:right="1054" w:hanging="361"/>
        <w:jc w:val="both"/>
        <w:rPr>
          <w:sz w:val="23"/>
        </w:rPr>
      </w:pPr>
      <w:r>
        <w:rPr>
          <w:i/>
          <w:sz w:val="24"/>
          <w:u w:val="single"/>
        </w:rPr>
        <w:t>Prospección.</w:t>
      </w:r>
      <w:r>
        <w:rPr>
          <w:i/>
          <w:sz w:val="24"/>
        </w:rPr>
        <w:t> </w:t>
      </w:r>
      <w:r>
        <w:rPr>
          <w:sz w:val="23"/>
        </w:rPr>
        <w:t>Se refiere a la identificación y cuantificación técnico-económica de oportunidades y potenciales de uso eficiente y ahorro de energía y se puede llevar a cabo por medio de estudios sectoriales, de encuestas y o de diagnósticos energéticos en instalaciones</w:t>
      </w:r>
      <w:r>
        <w:rPr>
          <w:spacing w:val="-3"/>
          <w:sz w:val="23"/>
        </w:rPr>
        <w:t> </w:t>
      </w:r>
      <w:r>
        <w:rPr>
          <w:sz w:val="23"/>
        </w:rPr>
        <w:t>individuales.</w:t>
      </w:r>
    </w:p>
    <w:p>
      <w:pPr>
        <w:pStyle w:val="BodyText"/>
        <w:spacing w:before="10"/>
        <w:rPr>
          <w:sz w:val="22"/>
        </w:rPr>
      </w:pPr>
    </w:p>
    <w:p>
      <w:pPr>
        <w:pStyle w:val="ListParagraph"/>
        <w:numPr>
          <w:ilvl w:val="0"/>
          <w:numId w:val="55"/>
        </w:numPr>
        <w:tabs>
          <w:tab w:pos="600" w:val="left" w:leader="none"/>
        </w:tabs>
        <w:spacing w:line="240" w:lineRule="auto" w:before="0" w:after="0"/>
        <w:ind w:left="599" w:right="1054" w:hanging="360"/>
        <w:jc w:val="both"/>
        <w:rPr>
          <w:sz w:val="23"/>
        </w:rPr>
      </w:pPr>
      <w:r>
        <w:rPr>
          <w:i/>
          <w:sz w:val="24"/>
          <w:u w:val="single"/>
        </w:rPr>
        <w:t>Incentivos económicos y financiamiento.</w:t>
      </w:r>
      <w:r>
        <w:rPr>
          <w:i/>
          <w:sz w:val="24"/>
        </w:rPr>
        <w:t> </w:t>
      </w:r>
      <w:r>
        <w:rPr>
          <w:sz w:val="23"/>
        </w:rPr>
        <w:t>En esta línea se ubican subsidios directos, deducciones de impuestos y/o financiamiento a bajas tasas de interés, además de la promoción de los contratos de desempeño para el ahorro de energía. Aquí se incluyen las acciones que se realizan apoyadas directamente por la banca de fomento o las que involucran a las empresas de distribución de energía (electricidad y/o gas) que tienen contratos con sus usuarios (y que pueden apoyar el recambio de</w:t>
      </w:r>
      <w:r>
        <w:rPr>
          <w:spacing w:val="-8"/>
          <w:sz w:val="23"/>
        </w:rPr>
        <w:t> </w:t>
      </w:r>
      <w:r>
        <w:rPr>
          <w:sz w:val="23"/>
        </w:rPr>
        <w:t>equipos).</w:t>
      </w:r>
    </w:p>
    <w:p>
      <w:pPr>
        <w:pStyle w:val="BodyText"/>
        <w:spacing w:before="2"/>
        <w:rPr>
          <w:sz w:val="22"/>
        </w:rPr>
      </w:pPr>
    </w:p>
    <w:p>
      <w:pPr>
        <w:pStyle w:val="ListParagraph"/>
        <w:numPr>
          <w:ilvl w:val="0"/>
          <w:numId w:val="55"/>
        </w:numPr>
        <w:tabs>
          <w:tab w:pos="600" w:val="left" w:leader="none"/>
        </w:tabs>
        <w:spacing w:line="237" w:lineRule="auto" w:before="0" w:after="0"/>
        <w:ind w:left="600" w:right="1055" w:hanging="360"/>
        <w:jc w:val="both"/>
        <w:rPr>
          <w:sz w:val="23"/>
        </w:rPr>
      </w:pPr>
      <w:r>
        <w:rPr>
          <w:i/>
          <w:sz w:val="24"/>
          <w:u w:val="single"/>
        </w:rPr>
        <w:t>Regulación y certificación de productos y sistemas.</w:t>
      </w:r>
      <w:r>
        <w:rPr>
          <w:i/>
          <w:sz w:val="24"/>
        </w:rPr>
        <w:t> </w:t>
      </w:r>
      <w:r>
        <w:rPr>
          <w:sz w:val="23"/>
        </w:rPr>
        <w:t>La regulación se refiere a las limitaciones a ciertas características de materiales, equipos y/o sistemas que inciden directa o indirectamente en el consumo de energía. La certificación se refiere a la confirmación de ciertas características de materiales, equipos y/o sistemas</w:t>
      </w:r>
      <w:r>
        <w:rPr>
          <w:spacing w:val="6"/>
          <w:sz w:val="23"/>
        </w:rPr>
        <w:t> </w:t>
      </w:r>
      <w:r>
        <w:rPr>
          <w:sz w:val="23"/>
        </w:rPr>
        <w:t>asociadas</w:t>
      </w:r>
    </w:p>
    <w:p>
      <w:pPr>
        <w:spacing w:after="0" w:line="237" w:lineRule="auto"/>
        <w:jc w:val="both"/>
        <w:rPr>
          <w:sz w:val="23"/>
        </w:rPr>
        <w:sectPr>
          <w:pgSz w:w="12240" w:h="15840"/>
          <w:pgMar w:header="718" w:footer="954" w:top="1360" w:bottom="1140" w:left="1200" w:right="380"/>
        </w:sectPr>
      </w:pPr>
    </w:p>
    <w:p>
      <w:pPr>
        <w:pStyle w:val="BodyText"/>
        <w:spacing w:before="4"/>
        <w:rPr>
          <w:sz w:val="11"/>
        </w:rPr>
      </w:pPr>
    </w:p>
    <w:p>
      <w:pPr>
        <w:pStyle w:val="BodyText"/>
        <w:spacing w:before="101"/>
        <w:ind w:left="599" w:right="1055"/>
        <w:jc w:val="both"/>
      </w:pPr>
      <w:r>
        <w:rPr/>
        <w:t>directa o indirectamente al consumo de energía. Esta línea de acción involucra un complicado proceso de diseño de normas técnicas, establecimiento de consensos entre diversos actores económicos, acreditación de laboratorios de prueba e información al público.</w:t>
      </w:r>
    </w:p>
    <w:p>
      <w:pPr>
        <w:pStyle w:val="BodyText"/>
        <w:spacing w:before="6"/>
        <w:rPr>
          <w:sz w:val="22"/>
        </w:rPr>
      </w:pPr>
    </w:p>
    <w:p>
      <w:pPr>
        <w:pStyle w:val="ListParagraph"/>
        <w:numPr>
          <w:ilvl w:val="0"/>
          <w:numId w:val="55"/>
        </w:numPr>
        <w:tabs>
          <w:tab w:pos="600" w:val="left" w:leader="none"/>
        </w:tabs>
        <w:spacing w:line="240" w:lineRule="auto" w:before="0" w:after="0"/>
        <w:ind w:left="600" w:right="1055" w:hanging="360"/>
        <w:jc w:val="both"/>
        <w:rPr>
          <w:sz w:val="23"/>
        </w:rPr>
      </w:pPr>
      <w:r>
        <w:rPr>
          <w:i/>
          <w:sz w:val="24"/>
          <w:u w:val="single"/>
        </w:rPr>
        <w:t>Obligaciones al sector público.</w:t>
      </w:r>
      <w:r>
        <w:rPr>
          <w:i/>
          <w:sz w:val="24"/>
        </w:rPr>
        <w:t> </w:t>
      </w:r>
      <w:r>
        <w:rPr>
          <w:sz w:val="23"/>
        </w:rPr>
        <w:t>Las obligaciones para el sector público incluyen el establecer sistemas de gestión del consumo de energía en sus instalaciones y el aprovechamiento de todas oportunidades de ahorro de energía que demuestren rentabilidad, desde la sustitución de un equipo hasta la remodelación de instalaciones completas. Por lo mismo, esta línea de acción involucra la definición de reglas, la organización de los responsables, la capacitación y el establecimiento de reglas y mecanismos de compra de equipos con mayor eficiencia</w:t>
      </w:r>
      <w:r>
        <w:rPr>
          <w:spacing w:val="-6"/>
          <w:sz w:val="23"/>
        </w:rPr>
        <w:t> </w:t>
      </w:r>
      <w:r>
        <w:rPr>
          <w:sz w:val="23"/>
        </w:rPr>
        <w:t>energética.</w:t>
      </w:r>
    </w:p>
    <w:p>
      <w:pPr>
        <w:pStyle w:val="BodyText"/>
        <w:spacing w:before="2"/>
        <w:rPr>
          <w:sz w:val="22"/>
        </w:rPr>
      </w:pPr>
    </w:p>
    <w:p>
      <w:pPr>
        <w:pStyle w:val="ListParagraph"/>
        <w:numPr>
          <w:ilvl w:val="0"/>
          <w:numId w:val="55"/>
        </w:numPr>
        <w:tabs>
          <w:tab w:pos="600" w:val="left" w:leader="none"/>
        </w:tabs>
        <w:spacing w:line="237" w:lineRule="auto" w:before="1" w:after="0"/>
        <w:ind w:left="599" w:right="1053" w:hanging="360"/>
        <w:jc w:val="both"/>
        <w:rPr>
          <w:sz w:val="23"/>
        </w:rPr>
      </w:pPr>
      <w:r>
        <w:rPr>
          <w:i/>
          <w:sz w:val="24"/>
          <w:u w:val="single"/>
        </w:rPr>
        <w:t>Compromisos</w:t>
      </w:r>
      <w:r>
        <w:rPr>
          <w:i/>
          <w:spacing w:val="-17"/>
          <w:sz w:val="24"/>
          <w:u w:val="single"/>
        </w:rPr>
        <w:t> </w:t>
      </w:r>
      <w:r>
        <w:rPr>
          <w:i/>
          <w:sz w:val="24"/>
          <w:u w:val="single"/>
        </w:rPr>
        <w:t>voluntarios</w:t>
      </w:r>
      <w:r>
        <w:rPr>
          <w:i/>
          <w:spacing w:val="-16"/>
          <w:sz w:val="24"/>
          <w:u w:val="single"/>
        </w:rPr>
        <w:t> </w:t>
      </w:r>
      <w:r>
        <w:rPr>
          <w:i/>
          <w:sz w:val="24"/>
          <w:u w:val="single"/>
        </w:rPr>
        <w:t>de</w:t>
      </w:r>
      <w:r>
        <w:rPr>
          <w:i/>
          <w:spacing w:val="-16"/>
          <w:sz w:val="24"/>
          <w:u w:val="single"/>
        </w:rPr>
        <w:t> </w:t>
      </w:r>
      <w:r>
        <w:rPr>
          <w:i/>
          <w:sz w:val="24"/>
          <w:u w:val="single"/>
        </w:rPr>
        <w:t>empresas</w:t>
      </w:r>
      <w:r>
        <w:rPr>
          <w:i/>
          <w:spacing w:val="-16"/>
          <w:sz w:val="24"/>
          <w:u w:val="single"/>
        </w:rPr>
        <w:t> </w:t>
      </w:r>
      <w:r>
        <w:rPr>
          <w:i/>
          <w:sz w:val="24"/>
          <w:u w:val="single"/>
        </w:rPr>
        <w:t>del</w:t>
      </w:r>
      <w:r>
        <w:rPr>
          <w:i/>
          <w:spacing w:val="-16"/>
          <w:sz w:val="24"/>
          <w:u w:val="single"/>
        </w:rPr>
        <w:t> </w:t>
      </w:r>
      <w:r>
        <w:rPr>
          <w:i/>
          <w:sz w:val="24"/>
          <w:u w:val="single"/>
        </w:rPr>
        <w:t>sector</w:t>
      </w:r>
      <w:r>
        <w:rPr>
          <w:i/>
          <w:spacing w:val="-16"/>
          <w:sz w:val="24"/>
          <w:u w:val="single"/>
        </w:rPr>
        <w:t> </w:t>
      </w:r>
      <w:r>
        <w:rPr>
          <w:i/>
          <w:sz w:val="24"/>
          <w:u w:val="single"/>
        </w:rPr>
        <w:t>privado.</w:t>
      </w:r>
      <w:r>
        <w:rPr>
          <w:i/>
          <w:spacing w:val="-17"/>
          <w:sz w:val="24"/>
        </w:rPr>
        <w:t> </w:t>
      </w:r>
      <w:r>
        <w:rPr>
          <w:sz w:val="23"/>
        </w:rPr>
        <w:t>Los</w:t>
      </w:r>
      <w:r>
        <w:rPr>
          <w:spacing w:val="-13"/>
          <w:sz w:val="23"/>
        </w:rPr>
        <w:t> </w:t>
      </w:r>
      <w:r>
        <w:rPr>
          <w:sz w:val="23"/>
        </w:rPr>
        <w:t>compromisos</w:t>
      </w:r>
      <w:r>
        <w:rPr>
          <w:spacing w:val="-13"/>
          <w:sz w:val="23"/>
        </w:rPr>
        <w:t> </w:t>
      </w:r>
      <w:r>
        <w:rPr>
          <w:sz w:val="23"/>
        </w:rPr>
        <w:t>voluntarios son aquellos que establecen las empresas de manera expresa con la CNE para reducir su consumo de energía en una cantidad o proporción y en un tiempo dado. Esta línea de acción va apoyada de incentivos económicos, de capacitación y de</w:t>
      </w:r>
      <w:r>
        <w:rPr>
          <w:spacing w:val="-14"/>
          <w:sz w:val="23"/>
        </w:rPr>
        <w:t> </w:t>
      </w:r>
      <w:r>
        <w:rPr>
          <w:sz w:val="23"/>
        </w:rPr>
        <w:t>información.</w:t>
      </w:r>
    </w:p>
    <w:p>
      <w:pPr>
        <w:pStyle w:val="BodyText"/>
        <w:spacing w:before="11"/>
        <w:rPr>
          <w:sz w:val="22"/>
        </w:rPr>
      </w:pPr>
    </w:p>
    <w:p>
      <w:pPr>
        <w:pStyle w:val="ListParagraph"/>
        <w:numPr>
          <w:ilvl w:val="0"/>
          <w:numId w:val="55"/>
        </w:numPr>
        <w:tabs>
          <w:tab w:pos="600" w:val="left" w:leader="none"/>
        </w:tabs>
        <w:spacing w:line="237" w:lineRule="auto" w:before="0" w:after="0"/>
        <w:ind w:left="600" w:right="1054" w:hanging="361"/>
        <w:jc w:val="both"/>
        <w:rPr>
          <w:sz w:val="23"/>
        </w:rPr>
      </w:pPr>
      <w:r>
        <w:rPr>
          <w:i/>
          <w:sz w:val="24"/>
          <w:u w:val="single"/>
        </w:rPr>
        <w:t>Educación e información.</w:t>
      </w:r>
      <w:r>
        <w:rPr>
          <w:i/>
          <w:sz w:val="24"/>
        </w:rPr>
        <w:t> </w:t>
      </w:r>
      <w:r>
        <w:rPr>
          <w:sz w:val="23"/>
        </w:rPr>
        <w:t>Esta línea integra lo que se lleva a cabo para formar e informar a las personas que toman (o que apoyen en la toma de) las decisiones que determinan el consumo de energía en una casa, en una instalación y/o en una empresa. De muchas maneras, esta es una línea de soporte a todas la demás líneas de</w:t>
      </w:r>
      <w:r>
        <w:rPr>
          <w:spacing w:val="-20"/>
          <w:sz w:val="23"/>
        </w:rPr>
        <w:t> </w:t>
      </w:r>
      <w:r>
        <w:rPr>
          <w:sz w:val="23"/>
        </w:rPr>
        <w:t>acción.</w:t>
      </w:r>
    </w:p>
    <w:p>
      <w:pPr>
        <w:pStyle w:val="BodyText"/>
        <w:spacing w:before="7"/>
        <w:rPr>
          <w:sz w:val="22"/>
        </w:rPr>
      </w:pPr>
    </w:p>
    <w:p>
      <w:pPr>
        <w:pStyle w:val="ListParagraph"/>
        <w:numPr>
          <w:ilvl w:val="0"/>
          <w:numId w:val="55"/>
        </w:numPr>
        <w:tabs>
          <w:tab w:pos="600" w:val="left" w:leader="none"/>
        </w:tabs>
        <w:spacing w:line="240" w:lineRule="auto" w:before="0" w:after="0"/>
        <w:ind w:left="599" w:right="1055" w:hanging="360"/>
        <w:jc w:val="both"/>
        <w:rPr>
          <w:sz w:val="23"/>
        </w:rPr>
      </w:pPr>
      <w:r>
        <w:rPr>
          <w:i/>
          <w:sz w:val="24"/>
          <w:u w:val="single"/>
        </w:rPr>
        <w:t>Innovación tecnológica.</w:t>
      </w:r>
      <w:r>
        <w:rPr>
          <w:i/>
          <w:sz w:val="24"/>
        </w:rPr>
        <w:t> </w:t>
      </w:r>
      <w:r>
        <w:rPr>
          <w:sz w:val="23"/>
        </w:rPr>
        <w:t>Por innovación se entiende a las tecnologías que mejoran significativamente la eficiencia energética y/o las prácticas de diseño, producción, construcción y/o operación de equipos e instalaciones. Esta actividad se refleja en proyectos piloto y/o demostrativos. Esta línea de acción se deriva, en alguna medida, de acciones de prospección.</w:t>
      </w:r>
    </w:p>
    <w:p>
      <w:pPr>
        <w:pStyle w:val="BodyText"/>
        <w:spacing w:before="2"/>
        <w:rPr>
          <w:sz w:val="22"/>
        </w:rPr>
      </w:pPr>
    </w:p>
    <w:p>
      <w:pPr>
        <w:pStyle w:val="ListParagraph"/>
        <w:numPr>
          <w:ilvl w:val="0"/>
          <w:numId w:val="55"/>
        </w:numPr>
        <w:tabs>
          <w:tab w:pos="600" w:val="left" w:leader="none"/>
        </w:tabs>
        <w:spacing w:line="240" w:lineRule="auto" w:before="0" w:after="0"/>
        <w:ind w:left="600" w:right="1054" w:hanging="361"/>
        <w:jc w:val="both"/>
        <w:rPr>
          <w:sz w:val="23"/>
        </w:rPr>
      </w:pPr>
      <w:r>
        <w:rPr>
          <w:i/>
          <w:sz w:val="24"/>
          <w:u w:val="single"/>
        </w:rPr>
        <w:t>Articulación de actores.</w:t>
      </w:r>
      <w:r>
        <w:rPr>
          <w:i/>
          <w:sz w:val="24"/>
        </w:rPr>
        <w:t> </w:t>
      </w:r>
      <w:r>
        <w:rPr>
          <w:sz w:val="23"/>
        </w:rPr>
        <w:t>La articulación de actores implica, fundamentalmente, el reunir a o dar lugar al intercambio de información y de puntos de vista entre un conjunto de individuos y/o instituciones que representan los distintos intereses alrededor de la eficiencia energética. Esta articulación es necesaria para el establecimiento de sistemas de regulación y certificación y para los programas voluntarios del sector privado, y apoya también a las obligaciones del sector</w:t>
      </w:r>
      <w:r>
        <w:rPr>
          <w:spacing w:val="-3"/>
          <w:sz w:val="23"/>
        </w:rPr>
        <w:t> </w:t>
      </w:r>
      <w:r>
        <w:rPr>
          <w:sz w:val="23"/>
        </w:rPr>
        <w:t>privado.</w:t>
      </w:r>
    </w:p>
    <w:p>
      <w:pPr>
        <w:spacing w:after="0" w:line="240" w:lineRule="auto"/>
        <w:jc w:val="both"/>
        <w:rPr>
          <w:sz w:val="23"/>
        </w:rPr>
        <w:sectPr>
          <w:pgSz w:w="12240" w:h="15840"/>
          <w:pgMar w:header="718" w:footer="954" w:top="1360" w:bottom="1140" w:left="1200" w:right="380"/>
        </w:sectPr>
      </w:pPr>
    </w:p>
    <w:p>
      <w:pPr>
        <w:pStyle w:val="BodyText"/>
        <w:rPr>
          <w:sz w:val="20"/>
        </w:rPr>
      </w:pPr>
    </w:p>
    <w:p>
      <w:pPr>
        <w:pStyle w:val="BodyText"/>
        <w:spacing w:before="9"/>
        <w:rPr>
          <w:sz w:val="22"/>
        </w:rPr>
      </w:pPr>
    </w:p>
    <w:p>
      <w:pPr>
        <w:pStyle w:val="BodyText"/>
        <w:tabs>
          <w:tab w:pos="2633" w:val="left" w:leader="none"/>
        </w:tabs>
        <w:ind w:left="239" w:right="1060"/>
      </w:pPr>
      <w:r>
        <w:rPr/>
        <w:t>Para</w:t>
      </w:r>
      <w:r>
        <w:rPr>
          <w:spacing w:val="70"/>
        </w:rPr>
        <w:t> </w:t>
      </w:r>
      <w:r>
        <w:rPr/>
        <w:t>los </w:t>
      </w:r>
      <w:r>
        <w:rPr>
          <w:spacing w:val="1"/>
        </w:rPr>
        <w:t> </w:t>
      </w:r>
      <w:r>
        <w:rPr/>
        <w:t>programas</w:t>
        <w:tab/>
        <w:t>de uso racional de energía planteados en la sección 3.3.1, las anteriores líneas de acción tienen las siguientes aplicaciones</w:t>
      </w:r>
      <w:r>
        <w:rPr>
          <w:spacing w:val="-6"/>
        </w:rPr>
        <w:t> </w:t>
      </w:r>
      <w:r>
        <w:rPr/>
        <w:t>específicas:</w:t>
      </w:r>
    </w:p>
    <w:p>
      <w:pPr>
        <w:pStyle w:val="BodyText"/>
      </w:pPr>
    </w:p>
    <w:p>
      <w:pPr>
        <w:pStyle w:val="Heading9"/>
        <w:spacing w:after="46"/>
        <w:ind w:left="1379"/>
      </w:pPr>
      <w:r>
        <w:rPr/>
        <w:t>Tabla 4.3 - Instrumentos aplicables para el ahorro de energía</w:t>
      </w: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6"/>
        <w:gridCol w:w="1483"/>
        <w:gridCol w:w="1620"/>
        <w:gridCol w:w="1620"/>
        <w:gridCol w:w="1620"/>
        <w:gridCol w:w="1440"/>
      </w:tblGrid>
      <w:tr>
        <w:trPr>
          <w:trHeight w:val="268" w:hRule="atLeast"/>
        </w:trPr>
        <w:tc>
          <w:tcPr>
            <w:tcW w:w="1776" w:type="dxa"/>
            <w:tcBorders>
              <w:top w:val="nil"/>
              <w:left w:val="nil"/>
            </w:tcBorders>
          </w:tcPr>
          <w:p>
            <w:pPr>
              <w:pStyle w:val="TableParagraph"/>
              <w:rPr>
                <w:rFonts w:ascii="Times New Roman"/>
                <w:sz w:val="14"/>
              </w:rPr>
            </w:pPr>
          </w:p>
        </w:tc>
        <w:tc>
          <w:tcPr>
            <w:tcW w:w="7783" w:type="dxa"/>
            <w:gridSpan w:val="5"/>
            <w:tcBorders>
              <w:top w:val="nil"/>
            </w:tcBorders>
            <w:shd w:val="clear" w:color="auto" w:fill="BFBFBF"/>
          </w:tcPr>
          <w:p>
            <w:pPr>
              <w:pStyle w:val="TableParagraph"/>
              <w:spacing w:line="249" w:lineRule="exact"/>
              <w:ind w:left="3263" w:right="3258"/>
              <w:jc w:val="center"/>
              <w:rPr>
                <w:rFonts w:ascii="Verdana"/>
                <w:b/>
                <w:sz w:val="22"/>
              </w:rPr>
            </w:pPr>
            <w:r>
              <w:rPr>
                <w:rFonts w:ascii="Verdana"/>
                <w:b/>
                <w:sz w:val="22"/>
              </w:rPr>
              <w:t>Programa</w:t>
            </w:r>
          </w:p>
        </w:tc>
      </w:tr>
      <w:tr>
        <w:trPr>
          <w:trHeight w:val="340" w:hRule="atLeast"/>
        </w:trPr>
        <w:tc>
          <w:tcPr>
            <w:tcW w:w="1776" w:type="dxa"/>
            <w:shd w:val="clear" w:color="auto" w:fill="BFBFBF"/>
          </w:tcPr>
          <w:p>
            <w:pPr>
              <w:pStyle w:val="TableParagraph"/>
              <w:spacing w:line="168" w:lineRule="exact"/>
              <w:ind w:left="107"/>
              <w:rPr>
                <w:rFonts w:ascii="Verdana"/>
                <w:b/>
                <w:sz w:val="14"/>
              </w:rPr>
            </w:pPr>
            <w:r>
              <w:rPr>
                <w:rFonts w:ascii="Verdana"/>
                <w:b/>
                <w:sz w:val="14"/>
              </w:rPr>
              <w:t>Instrumento</w:t>
            </w:r>
          </w:p>
        </w:tc>
        <w:tc>
          <w:tcPr>
            <w:tcW w:w="1483" w:type="dxa"/>
            <w:shd w:val="clear" w:color="auto" w:fill="BFBFBF"/>
          </w:tcPr>
          <w:p>
            <w:pPr>
              <w:pStyle w:val="TableParagraph"/>
              <w:spacing w:line="168" w:lineRule="exact"/>
              <w:ind w:left="204" w:right="199"/>
              <w:jc w:val="center"/>
              <w:rPr>
                <w:rFonts w:ascii="Verdana" w:hAnsi="Verdana"/>
                <w:b/>
                <w:sz w:val="14"/>
              </w:rPr>
            </w:pPr>
            <w:r>
              <w:rPr>
                <w:rFonts w:ascii="Verdana" w:hAnsi="Verdana"/>
                <w:b/>
                <w:sz w:val="14"/>
              </w:rPr>
              <w:t>Iluminación</w:t>
            </w:r>
          </w:p>
        </w:tc>
        <w:tc>
          <w:tcPr>
            <w:tcW w:w="1620" w:type="dxa"/>
            <w:shd w:val="clear" w:color="auto" w:fill="BFBFBF"/>
          </w:tcPr>
          <w:p>
            <w:pPr>
              <w:pStyle w:val="TableParagraph"/>
              <w:spacing w:line="168" w:lineRule="exact"/>
              <w:ind w:left="121" w:right="116"/>
              <w:jc w:val="center"/>
              <w:rPr>
                <w:rFonts w:ascii="Verdana" w:hAnsi="Verdana"/>
                <w:b/>
                <w:sz w:val="14"/>
              </w:rPr>
            </w:pPr>
            <w:r>
              <w:rPr>
                <w:rFonts w:ascii="Verdana" w:hAnsi="Verdana"/>
                <w:b/>
                <w:sz w:val="14"/>
              </w:rPr>
              <w:t>Refrigeración</w:t>
            </w:r>
          </w:p>
        </w:tc>
        <w:tc>
          <w:tcPr>
            <w:tcW w:w="1620" w:type="dxa"/>
            <w:shd w:val="clear" w:color="auto" w:fill="BFBFBF"/>
          </w:tcPr>
          <w:p>
            <w:pPr>
              <w:pStyle w:val="TableParagraph"/>
              <w:spacing w:line="170" w:lineRule="exact" w:before="3"/>
              <w:ind w:left="242" w:firstLine="405"/>
              <w:rPr>
                <w:rFonts w:ascii="Verdana"/>
                <w:b/>
                <w:sz w:val="14"/>
              </w:rPr>
            </w:pPr>
            <w:r>
              <w:rPr>
                <w:rFonts w:ascii="Verdana"/>
                <w:b/>
                <w:sz w:val="14"/>
              </w:rPr>
              <w:t>Aire </w:t>
            </w:r>
            <w:r>
              <w:rPr>
                <w:rFonts w:ascii="Verdana"/>
                <w:b/>
                <w:w w:val="95"/>
                <w:sz w:val="14"/>
              </w:rPr>
              <w:t>acondicionado</w:t>
            </w:r>
          </w:p>
        </w:tc>
        <w:tc>
          <w:tcPr>
            <w:tcW w:w="1620" w:type="dxa"/>
            <w:shd w:val="clear" w:color="auto" w:fill="BFBFBF"/>
          </w:tcPr>
          <w:p>
            <w:pPr>
              <w:pStyle w:val="TableParagraph"/>
              <w:spacing w:line="170" w:lineRule="exact" w:before="3"/>
              <w:ind w:left="268" w:hanging="32"/>
              <w:rPr>
                <w:rFonts w:ascii="Verdana"/>
                <w:b/>
                <w:sz w:val="14"/>
              </w:rPr>
            </w:pPr>
            <w:r>
              <w:rPr>
                <w:rFonts w:ascii="Verdana"/>
                <w:b/>
                <w:w w:val="95"/>
                <w:sz w:val="14"/>
              </w:rPr>
              <w:t>Calentamiento </w:t>
            </w:r>
            <w:r>
              <w:rPr>
                <w:rFonts w:ascii="Verdana"/>
                <w:b/>
                <w:sz w:val="14"/>
              </w:rPr>
              <w:t>Solar de agua</w:t>
            </w:r>
          </w:p>
        </w:tc>
        <w:tc>
          <w:tcPr>
            <w:tcW w:w="1440" w:type="dxa"/>
            <w:shd w:val="clear" w:color="auto" w:fill="BFBFBF"/>
          </w:tcPr>
          <w:p>
            <w:pPr>
              <w:pStyle w:val="TableParagraph"/>
              <w:spacing w:line="170" w:lineRule="exact" w:before="3"/>
              <w:ind w:left="549" w:right="1" w:hanging="274"/>
              <w:rPr>
                <w:rFonts w:ascii="Verdana" w:hAnsi="Verdana"/>
                <w:b/>
                <w:sz w:val="14"/>
              </w:rPr>
            </w:pPr>
            <w:r>
              <w:rPr>
                <w:rFonts w:ascii="Verdana" w:hAnsi="Verdana"/>
                <w:b/>
                <w:w w:val="95"/>
                <w:sz w:val="14"/>
              </w:rPr>
              <w:t>Sustitución </w:t>
            </w:r>
            <w:r>
              <w:rPr>
                <w:rFonts w:ascii="Verdana" w:hAnsi="Verdana"/>
                <w:b/>
                <w:sz w:val="14"/>
              </w:rPr>
              <w:t>leña</w:t>
            </w:r>
          </w:p>
        </w:tc>
      </w:tr>
      <w:tr>
        <w:trPr>
          <w:trHeight w:val="337" w:hRule="atLeast"/>
        </w:trPr>
        <w:tc>
          <w:tcPr>
            <w:tcW w:w="1776" w:type="dxa"/>
          </w:tcPr>
          <w:p>
            <w:pPr>
              <w:pStyle w:val="TableParagraph"/>
              <w:spacing w:line="166" w:lineRule="exact"/>
              <w:ind w:left="107"/>
              <w:rPr>
                <w:rFonts w:ascii="Verdana" w:hAnsi="Verdana"/>
                <w:sz w:val="14"/>
              </w:rPr>
            </w:pPr>
            <w:r>
              <w:rPr>
                <w:rFonts w:ascii="Verdana" w:hAnsi="Verdana"/>
                <w:sz w:val="14"/>
              </w:rPr>
              <w:t>Prospección</w:t>
            </w:r>
          </w:p>
        </w:tc>
        <w:tc>
          <w:tcPr>
            <w:tcW w:w="1483" w:type="dxa"/>
          </w:tcPr>
          <w:p>
            <w:pPr>
              <w:pStyle w:val="TableParagraph"/>
              <w:spacing w:line="166" w:lineRule="exact"/>
              <w:ind w:left="204" w:right="199"/>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440" w:type="dxa"/>
          </w:tcPr>
          <w:p>
            <w:pPr>
              <w:pStyle w:val="TableParagraph"/>
              <w:spacing w:line="170" w:lineRule="exact"/>
              <w:ind w:left="239" w:firstLine="333"/>
              <w:rPr>
                <w:rFonts w:ascii="Verdana"/>
                <w:sz w:val="14"/>
              </w:rPr>
            </w:pPr>
            <w:r>
              <w:rPr>
                <w:rFonts w:ascii="Verdana"/>
                <w:sz w:val="14"/>
              </w:rPr>
              <w:t>Muy </w:t>
            </w:r>
            <w:r>
              <w:rPr>
                <w:rFonts w:ascii="Verdana"/>
                <w:w w:val="95"/>
                <w:sz w:val="14"/>
              </w:rPr>
              <w:t>recomendado</w:t>
            </w:r>
          </w:p>
        </w:tc>
      </w:tr>
      <w:tr>
        <w:trPr>
          <w:trHeight w:val="506" w:hRule="atLeast"/>
        </w:trPr>
        <w:tc>
          <w:tcPr>
            <w:tcW w:w="1776" w:type="dxa"/>
          </w:tcPr>
          <w:p>
            <w:pPr>
              <w:pStyle w:val="TableParagraph"/>
              <w:spacing w:line="170" w:lineRule="exact" w:before="1"/>
              <w:ind w:left="107" w:right="147"/>
              <w:rPr>
                <w:rFonts w:ascii="Verdana" w:hAnsi="Verdana"/>
                <w:sz w:val="14"/>
              </w:rPr>
            </w:pPr>
            <w:r>
              <w:rPr>
                <w:rFonts w:ascii="Verdana" w:hAnsi="Verdana"/>
                <w:sz w:val="14"/>
              </w:rPr>
              <w:t>Incentivos económicos y </w:t>
            </w:r>
            <w:r>
              <w:rPr>
                <w:rFonts w:ascii="Verdana" w:hAnsi="Verdana"/>
                <w:w w:val="95"/>
                <w:sz w:val="14"/>
              </w:rPr>
              <w:t>financiamiento</w:t>
            </w:r>
          </w:p>
        </w:tc>
        <w:tc>
          <w:tcPr>
            <w:tcW w:w="1483" w:type="dxa"/>
          </w:tcPr>
          <w:p>
            <w:pPr>
              <w:pStyle w:val="TableParagraph"/>
              <w:spacing w:line="166" w:lineRule="exact"/>
              <w:ind w:left="204" w:right="199"/>
              <w:jc w:val="center"/>
              <w:rPr>
                <w:rFonts w:ascii="Verdana"/>
                <w:sz w:val="14"/>
              </w:rPr>
            </w:pPr>
            <w:r>
              <w:rPr>
                <w:rFonts w:ascii="Verdana"/>
                <w:sz w:val="14"/>
              </w:rPr>
              <w:t>Recomendado</w:t>
            </w:r>
          </w:p>
        </w:tc>
        <w:tc>
          <w:tcPr>
            <w:tcW w:w="1620" w:type="dxa"/>
          </w:tcPr>
          <w:p>
            <w:pPr>
              <w:pStyle w:val="TableParagraph"/>
              <w:spacing w:line="166" w:lineRule="exact"/>
              <w:ind w:left="117" w:right="116"/>
              <w:jc w:val="center"/>
              <w:rPr>
                <w:rFonts w:ascii="Verdana"/>
                <w:sz w:val="14"/>
              </w:rPr>
            </w:pPr>
            <w:r>
              <w:rPr>
                <w:rFonts w:ascii="Verdana"/>
                <w:sz w:val="14"/>
              </w:rPr>
              <w:t>Muy recomendado</w:t>
            </w:r>
          </w:p>
        </w:tc>
        <w:tc>
          <w:tcPr>
            <w:tcW w:w="1620" w:type="dxa"/>
          </w:tcPr>
          <w:p>
            <w:pPr>
              <w:pStyle w:val="TableParagraph"/>
              <w:spacing w:line="166" w:lineRule="exact"/>
              <w:ind w:left="117" w:right="116"/>
              <w:jc w:val="center"/>
              <w:rPr>
                <w:rFonts w:ascii="Verdana"/>
                <w:sz w:val="14"/>
              </w:rPr>
            </w:pPr>
            <w:r>
              <w:rPr>
                <w:rFonts w:ascii="Verdana"/>
                <w:sz w:val="14"/>
              </w:rPr>
              <w:t>Muy recomendado</w:t>
            </w:r>
          </w:p>
        </w:tc>
        <w:tc>
          <w:tcPr>
            <w:tcW w:w="1620" w:type="dxa"/>
          </w:tcPr>
          <w:p>
            <w:pPr>
              <w:pStyle w:val="TableParagraph"/>
              <w:spacing w:line="166" w:lineRule="exact"/>
              <w:ind w:left="119" w:right="116"/>
              <w:jc w:val="center"/>
              <w:rPr>
                <w:rFonts w:ascii="Verdana"/>
                <w:sz w:val="14"/>
              </w:rPr>
            </w:pPr>
            <w:r>
              <w:rPr>
                <w:rFonts w:ascii="Verdana"/>
                <w:sz w:val="14"/>
              </w:rPr>
              <w:t>Necesario</w:t>
            </w:r>
          </w:p>
        </w:tc>
        <w:tc>
          <w:tcPr>
            <w:tcW w:w="1440" w:type="dxa"/>
          </w:tcPr>
          <w:p>
            <w:pPr>
              <w:pStyle w:val="TableParagraph"/>
              <w:spacing w:line="166" w:lineRule="exact"/>
              <w:ind w:left="199" w:right="199"/>
              <w:jc w:val="center"/>
              <w:rPr>
                <w:rFonts w:ascii="Verdana"/>
                <w:sz w:val="14"/>
              </w:rPr>
            </w:pPr>
            <w:r>
              <w:rPr>
                <w:rFonts w:ascii="Verdana"/>
                <w:sz w:val="14"/>
              </w:rPr>
              <w:t>Necesario</w:t>
            </w:r>
          </w:p>
        </w:tc>
      </w:tr>
      <w:tr>
        <w:trPr>
          <w:trHeight w:val="505" w:hRule="atLeast"/>
        </w:trPr>
        <w:tc>
          <w:tcPr>
            <w:tcW w:w="1776" w:type="dxa"/>
          </w:tcPr>
          <w:p>
            <w:pPr>
              <w:pStyle w:val="TableParagraph"/>
              <w:spacing w:line="166" w:lineRule="exact"/>
              <w:ind w:left="107"/>
              <w:rPr>
                <w:rFonts w:ascii="Verdana" w:hAnsi="Verdana"/>
                <w:sz w:val="14"/>
              </w:rPr>
            </w:pPr>
            <w:r>
              <w:rPr>
                <w:rFonts w:ascii="Verdana" w:hAnsi="Verdana"/>
                <w:sz w:val="14"/>
              </w:rPr>
              <w:t>Regulación y</w:t>
            </w:r>
          </w:p>
          <w:p>
            <w:pPr>
              <w:pStyle w:val="TableParagraph"/>
              <w:spacing w:line="168" w:lineRule="exact" w:before="6"/>
              <w:ind w:left="107" w:right="147"/>
              <w:rPr>
                <w:rFonts w:ascii="Verdana" w:hAnsi="Verdana"/>
                <w:sz w:val="14"/>
              </w:rPr>
            </w:pPr>
            <w:r>
              <w:rPr>
                <w:rFonts w:ascii="Verdana" w:hAnsi="Verdana"/>
                <w:sz w:val="14"/>
              </w:rPr>
              <w:t>certificación de productos y sistemas</w:t>
            </w:r>
          </w:p>
        </w:tc>
        <w:tc>
          <w:tcPr>
            <w:tcW w:w="1483" w:type="dxa"/>
          </w:tcPr>
          <w:p>
            <w:pPr>
              <w:pStyle w:val="TableParagraph"/>
              <w:spacing w:line="166" w:lineRule="exact"/>
              <w:ind w:left="204" w:right="199"/>
              <w:jc w:val="center"/>
              <w:rPr>
                <w:rFonts w:ascii="Verdana"/>
                <w:sz w:val="14"/>
              </w:rPr>
            </w:pPr>
            <w:r>
              <w:rPr>
                <w:rFonts w:ascii="Verdana"/>
                <w:sz w:val="14"/>
              </w:rPr>
              <w:t>Necesario</w:t>
            </w:r>
          </w:p>
        </w:tc>
        <w:tc>
          <w:tcPr>
            <w:tcW w:w="1620" w:type="dxa"/>
          </w:tcPr>
          <w:p>
            <w:pPr>
              <w:pStyle w:val="TableParagraph"/>
              <w:spacing w:line="166" w:lineRule="exact"/>
              <w:ind w:left="119" w:right="116"/>
              <w:jc w:val="center"/>
              <w:rPr>
                <w:rFonts w:ascii="Verdana"/>
                <w:sz w:val="14"/>
              </w:rPr>
            </w:pPr>
            <w:r>
              <w:rPr>
                <w:rFonts w:ascii="Verdana"/>
                <w:sz w:val="14"/>
              </w:rPr>
              <w:t>Necesario</w:t>
            </w:r>
          </w:p>
        </w:tc>
        <w:tc>
          <w:tcPr>
            <w:tcW w:w="1620" w:type="dxa"/>
          </w:tcPr>
          <w:p>
            <w:pPr>
              <w:pStyle w:val="TableParagraph"/>
              <w:spacing w:line="166" w:lineRule="exact"/>
              <w:ind w:left="119" w:right="116"/>
              <w:jc w:val="center"/>
              <w:rPr>
                <w:rFonts w:ascii="Verdana"/>
                <w:sz w:val="14"/>
              </w:rPr>
            </w:pPr>
            <w:r>
              <w:rPr>
                <w:rFonts w:ascii="Verdana"/>
                <w:sz w:val="14"/>
              </w:rPr>
              <w:t>Necesario</w:t>
            </w:r>
          </w:p>
        </w:tc>
        <w:tc>
          <w:tcPr>
            <w:tcW w:w="1620" w:type="dxa"/>
          </w:tcPr>
          <w:p>
            <w:pPr>
              <w:pStyle w:val="TableParagraph"/>
              <w:spacing w:line="166" w:lineRule="exact"/>
              <w:ind w:left="119" w:right="116"/>
              <w:jc w:val="center"/>
              <w:rPr>
                <w:rFonts w:ascii="Verdana"/>
                <w:sz w:val="14"/>
              </w:rPr>
            </w:pPr>
            <w:r>
              <w:rPr>
                <w:rFonts w:ascii="Verdana"/>
                <w:sz w:val="14"/>
              </w:rPr>
              <w:t>Necesario</w:t>
            </w:r>
          </w:p>
        </w:tc>
        <w:tc>
          <w:tcPr>
            <w:tcW w:w="1440" w:type="dxa"/>
          </w:tcPr>
          <w:p>
            <w:pPr>
              <w:pStyle w:val="TableParagraph"/>
              <w:spacing w:line="166" w:lineRule="exact"/>
              <w:ind w:left="199" w:right="199"/>
              <w:jc w:val="center"/>
              <w:rPr>
                <w:rFonts w:ascii="Verdana"/>
                <w:sz w:val="14"/>
              </w:rPr>
            </w:pPr>
            <w:r>
              <w:rPr>
                <w:rFonts w:ascii="Verdana"/>
                <w:sz w:val="14"/>
              </w:rPr>
              <w:t>Necesario</w:t>
            </w:r>
          </w:p>
        </w:tc>
      </w:tr>
      <w:tr>
        <w:trPr>
          <w:trHeight w:val="338" w:hRule="atLeast"/>
        </w:trPr>
        <w:tc>
          <w:tcPr>
            <w:tcW w:w="1776" w:type="dxa"/>
          </w:tcPr>
          <w:p>
            <w:pPr>
              <w:pStyle w:val="TableParagraph"/>
              <w:spacing w:line="170" w:lineRule="exact" w:before="1"/>
              <w:ind w:left="107" w:right="102"/>
              <w:rPr>
                <w:rFonts w:ascii="Verdana" w:hAnsi="Verdana"/>
                <w:sz w:val="14"/>
              </w:rPr>
            </w:pPr>
            <w:r>
              <w:rPr>
                <w:rFonts w:ascii="Verdana" w:hAnsi="Verdana"/>
                <w:sz w:val="14"/>
              </w:rPr>
              <w:t>Obligaciones al sector público</w:t>
            </w:r>
          </w:p>
        </w:tc>
        <w:tc>
          <w:tcPr>
            <w:tcW w:w="1483" w:type="dxa"/>
          </w:tcPr>
          <w:p>
            <w:pPr>
              <w:pStyle w:val="TableParagraph"/>
              <w:spacing w:line="170" w:lineRule="exact" w:before="1"/>
              <w:ind w:left="263" w:right="103" w:firstLine="331"/>
              <w:rPr>
                <w:rFonts w:ascii="Verdana"/>
                <w:sz w:val="14"/>
              </w:rPr>
            </w:pPr>
            <w:r>
              <w:rPr>
                <w:rFonts w:ascii="Verdana"/>
                <w:sz w:val="14"/>
              </w:rPr>
              <w:t>Muy </w:t>
            </w:r>
            <w:r>
              <w:rPr>
                <w:rFonts w:ascii="Verdana"/>
                <w:w w:val="95"/>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440" w:type="dxa"/>
          </w:tcPr>
          <w:p>
            <w:pPr>
              <w:pStyle w:val="TableParagraph"/>
              <w:spacing w:line="166" w:lineRule="exact"/>
              <w:ind w:left="199" w:right="197"/>
              <w:jc w:val="center"/>
              <w:rPr>
                <w:rFonts w:ascii="Verdana"/>
                <w:sz w:val="14"/>
              </w:rPr>
            </w:pPr>
            <w:r>
              <w:rPr>
                <w:rFonts w:ascii="Verdana"/>
                <w:sz w:val="14"/>
              </w:rPr>
              <w:t>No aplica</w:t>
            </w:r>
          </w:p>
        </w:tc>
      </w:tr>
      <w:tr>
        <w:trPr>
          <w:trHeight w:val="507" w:hRule="atLeast"/>
        </w:trPr>
        <w:tc>
          <w:tcPr>
            <w:tcW w:w="1776" w:type="dxa"/>
          </w:tcPr>
          <w:p>
            <w:pPr>
              <w:pStyle w:val="TableParagraph"/>
              <w:spacing w:line="170" w:lineRule="exact"/>
              <w:ind w:left="107" w:right="123"/>
              <w:rPr>
                <w:rFonts w:ascii="Verdana"/>
                <w:sz w:val="14"/>
              </w:rPr>
            </w:pPr>
            <w:r>
              <w:rPr>
                <w:rFonts w:ascii="Verdana"/>
                <w:sz w:val="14"/>
              </w:rPr>
              <w:t>Compromisos voluntarios del sector privado</w:t>
            </w:r>
          </w:p>
        </w:tc>
        <w:tc>
          <w:tcPr>
            <w:tcW w:w="1483" w:type="dxa"/>
          </w:tcPr>
          <w:p>
            <w:pPr>
              <w:pStyle w:val="TableParagraph"/>
              <w:spacing w:line="166" w:lineRule="exact"/>
              <w:ind w:left="204" w:right="199"/>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620" w:type="dxa"/>
          </w:tcPr>
          <w:p>
            <w:pPr>
              <w:pStyle w:val="TableParagraph"/>
              <w:spacing w:line="166" w:lineRule="exact"/>
              <w:ind w:left="119" w:right="116"/>
              <w:jc w:val="center"/>
              <w:rPr>
                <w:rFonts w:ascii="Verdana"/>
                <w:sz w:val="14"/>
              </w:rPr>
            </w:pPr>
            <w:r>
              <w:rPr>
                <w:rFonts w:ascii="Verdana"/>
                <w:sz w:val="14"/>
              </w:rPr>
              <w:t>Recomendado</w:t>
            </w:r>
          </w:p>
        </w:tc>
        <w:tc>
          <w:tcPr>
            <w:tcW w:w="1440" w:type="dxa"/>
          </w:tcPr>
          <w:p>
            <w:pPr>
              <w:pStyle w:val="TableParagraph"/>
              <w:spacing w:line="166" w:lineRule="exact"/>
              <w:ind w:left="199" w:right="197"/>
              <w:jc w:val="center"/>
              <w:rPr>
                <w:rFonts w:ascii="Verdana"/>
                <w:sz w:val="14"/>
              </w:rPr>
            </w:pPr>
            <w:r>
              <w:rPr>
                <w:rFonts w:ascii="Verdana"/>
                <w:sz w:val="14"/>
              </w:rPr>
              <w:t>No aplica</w:t>
            </w:r>
          </w:p>
        </w:tc>
      </w:tr>
      <w:tr>
        <w:trPr>
          <w:trHeight w:val="338" w:hRule="atLeast"/>
        </w:trPr>
        <w:tc>
          <w:tcPr>
            <w:tcW w:w="1776" w:type="dxa"/>
          </w:tcPr>
          <w:p>
            <w:pPr>
              <w:pStyle w:val="TableParagraph"/>
              <w:spacing w:line="170" w:lineRule="exact" w:before="1"/>
              <w:ind w:left="107" w:right="800"/>
              <w:rPr>
                <w:rFonts w:ascii="Verdana" w:hAnsi="Verdana"/>
                <w:sz w:val="14"/>
              </w:rPr>
            </w:pPr>
            <w:r>
              <w:rPr>
                <w:rFonts w:ascii="Verdana" w:hAnsi="Verdana"/>
                <w:sz w:val="14"/>
              </w:rPr>
              <w:t>Educación e información</w:t>
            </w:r>
          </w:p>
        </w:tc>
        <w:tc>
          <w:tcPr>
            <w:tcW w:w="1483" w:type="dxa"/>
          </w:tcPr>
          <w:p>
            <w:pPr>
              <w:pStyle w:val="TableParagraph"/>
              <w:spacing w:line="167" w:lineRule="exact"/>
              <w:ind w:left="204" w:right="199"/>
              <w:jc w:val="center"/>
              <w:rPr>
                <w:rFonts w:ascii="Verdana"/>
                <w:sz w:val="14"/>
              </w:rPr>
            </w:pPr>
            <w:r>
              <w:rPr>
                <w:rFonts w:ascii="Verdana"/>
                <w:sz w:val="14"/>
              </w:rPr>
              <w:t>Necesario</w:t>
            </w:r>
          </w:p>
        </w:tc>
        <w:tc>
          <w:tcPr>
            <w:tcW w:w="1620" w:type="dxa"/>
          </w:tcPr>
          <w:p>
            <w:pPr>
              <w:pStyle w:val="TableParagraph"/>
              <w:spacing w:line="167" w:lineRule="exact"/>
              <w:ind w:left="119" w:right="116"/>
              <w:jc w:val="center"/>
              <w:rPr>
                <w:rFonts w:ascii="Verdana"/>
                <w:sz w:val="14"/>
              </w:rPr>
            </w:pPr>
            <w:r>
              <w:rPr>
                <w:rFonts w:ascii="Verdana"/>
                <w:sz w:val="14"/>
              </w:rPr>
              <w:t>Necesario</w:t>
            </w:r>
          </w:p>
        </w:tc>
        <w:tc>
          <w:tcPr>
            <w:tcW w:w="1620" w:type="dxa"/>
          </w:tcPr>
          <w:p>
            <w:pPr>
              <w:pStyle w:val="TableParagraph"/>
              <w:spacing w:line="167" w:lineRule="exact"/>
              <w:ind w:left="119" w:right="116"/>
              <w:jc w:val="center"/>
              <w:rPr>
                <w:rFonts w:ascii="Verdana"/>
                <w:sz w:val="14"/>
              </w:rPr>
            </w:pPr>
            <w:r>
              <w:rPr>
                <w:rFonts w:ascii="Verdana"/>
                <w:sz w:val="14"/>
              </w:rPr>
              <w:t>Necesario</w:t>
            </w:r>
          </w:p>
        </w:tc>
        <w:tc>
          <w:tcPr>
            <w:tcW w:w="1620" w:type="dxa"/>
          </w:tcPr>
          <w:p>
            <w:pPr>
              <w:pStyle w:val="TableParagraph"/>
              <w:spacing w:line="167" w:lineRule="exact"/>
              <w:ind w:left="119" w:right="116"/>
              <w:jc w:val="center"/>
              <w:rPr>
                <w:rFonts w:ascii="Verdana"/>
                <w:sz w:val="14"/>
              </w:rPr>
            </w:pPr>
            <w:r>
              <w:rPr>
                <w:rFonts w:ascii="Verdana"/>
                <w:sz w:val="14"/>
              </w:rPr>
              <w:t>Necesario</w:t>
            </w:r>
          </w:p>
        </w:tc>
        <w:tc>
          <w:tcPr>
            <w:tcW w:w="1440" w:type="dxa"/>
          </w:tcPr>
          <w:p>
            <w:pPr>
              <w:pStyle w:val="TableParagraph"/>
              <w:spacing w:line="167" w:lineRule="exact"/>
              <w:ind w:left="199" w:right="199"/>
              <w:jc w:val="center"/>
              <w:rPr>
                <w:rFonts w:ascii="Verdana"/>
                <w:sz w:val="14"/>
              </w:rPr>
            </w:pPr>
            <w:r>
              <w:rPr>
                <w:rFonts w:ascii="Verdana"/>
                <w:sz w:val="14"/>
              </w:rPr>
              <w:t>Necesario</w:t>
            </w:r>
          </w:p>
        </w:tc>
      </w:tr>
      <w:tr>
        <w:trPr>
          <w:trHeight w:val="338" w:hRule="atLeast"/>
        </w:trPr>
        <w:tc>
          <w:tcPr>
            <w:tcW w:w="1776" w:type="dxa"/>
          </w:tcPr>
          <w:p>
            <w:pPr>
              <w:pStyle w:val="TableParagraph"/>
              <w:spacing w:line="170" w:lineRule="exact"/>
              <w:ind w:left="107" w:right="866"/>
              <w:rPr>
                <w:rFonts w:ascii="Verdana" w:hAnsi="Verdana"/>
                <w:sz w:val="14"/>
              </w:rPr>
            </w:pPr>
            <w:r>
              <w:rPr>
                <w:rFonts w:ascii="Verdana" w:hAnsi="Verdana"/>
                <w:sz w:val="14"/>
              </w:rPr>
              <w:t>Innovación </w:t>
            </w:r>
            <w:r>
              <w:rPr>
                <w:rFonts w:ascii="Verdana" w:hAnsi="Verdana"/>
                <w:w w:val="95"/>
                <w:sz w:val="14"/>
              </w:rPr>
              <w:t>tecnológica</w:t>
            </w:r>
          </w:p>
        </w:tc>
        <w:tc>
          <w:tcPr>
            <w:tcW w:w="1483" w:type="dxa"/>
          </w:tcPr>
          <w:p>
            <w:pPr>
              <w:pStyle w:val="TableParagraph"/>
              <w:spacing w:line="166" w:lineRule="exact"/>
              <w:ind w:left="202" w:right="199"/>
              <w:jc w:val="center"/>
              <w:rPr>
                <w:rFonts w:ascii="Verdana"/>
                <w:sz w:val="14"/>
              </w:rPr>
            </w:pPr>
            <w:r>
              <w:rPr>
                <w:rFonts w:ascii="Verdana"/>
                <w:sz w:val="14"/>
              </w:rPr>
              <w:t>No necesario</w:t>
            </w:r>
          </w:p>
        </w:tc>
        <w:tc>
          <w:tcPr>
            <w:tcW w:w="1620" w:type="dxa"/>
          </w:tcPr>
          <w:p>
            <w:pPr>
              <w:pStyle w:val="TableParagraph"/>
              <w:spacing w:line="166" w:lineRule="exact"/>
              <w:ind w:left="116" w:right="116"/>
              <w:jc w:val="center"/>
              <w:rPr>
                <w:rFonts w:ascii="Verdana"/>
                <w:sz w:val="14"/>
              </w:rPr>
            </w:pPr>
            <w:r>
              <w:rPr>
                <w:rFonts w:ascii="Verdana"/>
                <w:sz w:val="14"/>
              </w:rPr>
              <w:t>No necesario</w:t>
            </w:r>
          </w:p>
        </w:tc>
        <w:tc>
          <w:tcPr>
            <w:tcW w:w="1620" w:type="dxa"/>
          </w:tcPr>
          <w:p>
            <w:pPr>
              <w:pStyle w:val="TableParagraph"/>
              <w:spacing w:line="166" w:lineRule="exact"/>
              <w:ind w:left="116" w:right="116"/>
              <w:jc w:val="center"/>
              <w:rPr>
                <w:rFonts w:ascii="Verdana"/>
                <w:sz w:val="14"/>
              </w:rPr>
            </w:pPr>
            <w:r>
              <w:rPr>
                <w:rFonts w:ascii="Verdana"/>
                <w:sz w:val="14"/>
              </w:rPr>
              <w:t>No necesario</w:t>
            </w:r>
          </w:p>
        </w:tc>
        <w:tc>
          <w:tcPr>
            <w:tcW w:w="1620" w:type="dxa"/>
          </w:tcPr>
          <w:p>
            <w:pPr>
              <w:pStyle w:val="TableParagraph"/>
              <w:spacing w:line="166" w:lineRule="exact"/>
              <w:ind w:left="116" w:right="116"/>
              <w:jc w:val="center"/>
              <w:rPr>
                <w:rFonts w:ascii="Verdana"/>
                <w:sz w:val="14"/>
              </w:rPr>
            </w:pPr>
            <w:r>
              <w:rPr>
                <w:rFonts w:ascii="Verdana"/>
                <w:sz w:val="14"/>
              </w:rPr>
              <w:t>No necesario</w:t>
            </w:r>
          </w:p>
        </w:tc>
        <w:tc>
          <w:tcPr>
            <w:tcW w:w="1440" w:type="dxa"/>
          </w:tcPr>
          <w:p>
            <w:pPr>
              <w:pStyle w:val="TableParagraph"/>
              <w:spacing w:line="166" w:lineRule="exact"/>
              <w:ind w:left="199" w:right="199"/>
              <w:jc w:val="center"/>
              <w:rPr>
                <w:rFonts w:ascii="Verdana"/>
                <w:sz w:val="14"/>
              </w:rPr>
            </w:pPr>
            <w:r>
              <w:rPr>
                <w:rFonts w:ascii="Verdana"/>
                <w:sz w:val="14"/>
              </w:rPr>
              <w:t>Recomendado</w:t>
            </w:r>
          </w:p>
        </w:tc>
      </w:tr>
      <w:tr>
        <w:trPr>
          <w:trHeight w:val="338" w:hRule="atLeast"/>
        </w:trPr>
        <w:tc>
          <w:tcPr>
            <w:tcW w:w="1776" w:type="dxa"/>
          </w:tcPr>
          <w:p>
            <w:pPr>
              <w:pStyle w:val="TableParagraph"/>
              <w:spacing w:line="170" w:lineRule="exact" w:before="1"/>
              <w:ind w:left="107" w:right="601"/>
              <w:rPr>
                <w:rFonts w:ascii="Verdana" w:hAnsi="Verdana"/>
                <w:sz w:val="14"/>
              </w:rPr>
            </w:pPr>
            <w:r>
              <w:rPr>
                <w:rFonts w:ascii="Verdana" w:hAnsi="Verdana"/>
                <w:sz w:val="14"/>
              </w:rPr>
              <w:t>Articulación de actores</w:t>
            </w:r>
          </w:p>
        </w:tc>
        <w:tc>
          <w:tcPr>
            <w:tcW w:w="1483" w:type="dxa"/>
          </w:tcPr>
          <w:p>
            <w:pPr>
              <w:pStyle w:val="TableParagraph"/>
              <w:spacing w:line="170" w:lineRule="exact" w:before="1"/>
              <w:ind w:left="263" w:right="103" w:firstLine="331"/>
              <w:rPr>
                <w:rFonts w:ascii="Verdana"/>
                <w:sz w:val="14"/>
              </w:rPr>
            </w:pPr>
            <w:r>
              <w:rPr>
                <w:rFonts w:ascii="Verdana"/>
                <w:sz w:val="14"/>
              </w:rPr>
              <w:t>Muy </w:t>
            </w:r>
            <w:r>
              <w:rPr>
                <w:rFonts w:ascii="Verdana"/>
                <w:w w:val="95"/>
                <w:sz w:val="14"/>
              </w:rPr>
              <w:t>recomendado</w:t>
            </w:r>
          </w:p>
        </w:tc>
        <w:tc>
          <w:tcPr>
            <w:tcW w:w="1620" w:type="dxa"/>
          </w:tcPr>
          <w:p>
            <w:pPr>
              <w:pStyle w:val="TableParagraph"/>
              <w:spacing w:line="166" w:lineRule="exact"/>
              <w:ind w:left="120" w:right="116"/>
              <w:jc w:val="center"/>
              <w:rPr>
                <w:rFonts w:ascii="Verdana"/>
                <w:sz w:val="14"/>
              </w:rPr>
            </w:pPr>
            <w:r>
              <w:rPr>
                <w:rFonts w:ascii="Verdana"/>
                <w:sz w:val="14"/>
              </w:rPr>
              <w:t>Muy recomendable</w:t>
            </w:r>
          </w:p>
        </w:tc>
        <w:tc>
          <w:tcPr>
            <w:tcW w:w="1620" w:type="dxa"/>
          </w:tcPr>
          <w:p>
            <w:pPr>
              <w:pStyle w:val="TableParagraph"/>
              <w:spacing w:line="166" w:lineRule="exact"/>
              <w:ind w:left="117" w:right="116"/>
              <w:jc w:val="center"/>
              <w:rPr>
                <w:rFonts w:ascii="Verdana"/>
                <w:sz w:val="14"/>
              </w:rPr>
            </w:pPr>
            <w:r>
              <w:rPr>
                <w:rFonts w:ascii="Verdana"/>
                <w:sz w:val="14"/>
              </w:rPr>
              <w:t>Muy recomendado</w:t>
            </w:r>
          </w:p>
        </w:tc>
        <w:tc>
          <w:tcPr>
            <w:tcW w:w="1620" w:type="dxa"/>
          </w:tcPr>
          <w:p>
            <w:pPr>
              <w:pStyle w:val="TableParagraph"/>
              <w:spacing w:line="166" w:lineRule="exact"/>
              <w:ind w:left="117" w:right="116"/>
              <w:jc w:val="center"/>
              <w:rPr>
                <w:rFonts w:ascii="Verdana"/>
                <w:sz w:val="14"/>
              </w:rPr>
            </w:pPr>
            <w:r>
              <w:rPr>
                <w:rFonts w:ascii="Verdana"/>
                <w:sz w:val="14"/>
              </w:rPr>
              <w:t>Muy recomendado</w:t>
            </w:r>
          </w:p>
        </w:tc>
        <w:tc>
          <w:tcPr>
            <w:tcW w:w="1440" w:type="dxa"/>
          </w:tcPr>
          <w:p>
            <w:pPr>
              <w:pStyle w:val="TableParagraph"/>
              <w:spacing w:line="166" w:lineRule="exact"/>
              <w:ind w:left="199" w:right="199"/>
              <w:jc w:val="center"/>
              <w:rPr>
                <w:rFonts w:ascii="Verdana"/>
                <w:sz w:val="14"/>
              </w:rPr>
            </w:pPr>
            <w:r>
              <w:rPr>
                <w:rFonts w:ascii="Verdana"/>
                <w:sz w:val="14"/>
              </w:rPr>
              <w:t>Necesario</w:t>
            </w:r>
          </w:p>
        </w:tc>
      </w:tr>
    </w:tbl>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8"/>
        <w:rPr>
          <w:b/>
          <w:sz w:val="40"/>
        </w:rPr>
      </w:pPr>
    </w:p>
    <w:p>
      <w:pPr>
        <w:spacing w:before="1"/>
        <w:ind w:left="240" w:right="0" w:firstLine="0"/>
        <w:jc w:val="left"/>
        <w:rPr>
          <w:sz w:val="20"/>
        </w:rPr>
      </w:pPr>
      <w:r>
        <w:rPr/>
        <w:pict>
          <v:shape style="position:absolute;margin-left:143.279922pt;margin-top:-108.025238pt;width:325.7pt;height:214.6pt;mso-position-horizontal-relative:page;mso-position-vertical-relative:paragraph;z-index:15787008"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6"/>
                    <w:gridCol w:w="1483"/>
                    <w:gridCol w:w="1620"/>
                    <w:gridCol w:w="1620"/>
                  </w:tblGrid>
                  <w:tr>
                    <w:trPr>
                      <w:trHeight w:val="268" w:hRule="atLeast"/>
                    </w:trPr>
                    <w:tc>
                      <w:tcPr>
                        <w:tcW w:w="1776" w:type="dxa"/>
                        <w:tcBorders>
                          <w:top w:val="nil"/>
                          <w:left w:val="nil"/>
                        </w:tcBorders>
                      </w:tcPr>
                      <w:p>
                        <w:pPr>
                          <w:pStyle w:val="TableParagraph"/>
                          <w:rPr>
                            <w:rFonts w:ascii="Times New Roman"/>
                            <w:sz w:val="14"/>
                          </w:rPr>
                        </w:pPr>
                      </w:p>
                    </w:tc>
                    <w:tc>
                      <w:tcPr>
                        <w:tcW w:w="4723" w:type="dxa"/>
                        <w:gridSpan w:val="3"/>
                        <w:shd w:val="clear" w:color="auto" w:fill="BFBFBF"/>
                      </w:tcPr>
                      <w:p>
                        <w:pPr>
                          <w:pStyle w:val="TableParagraph"/>
                          <w:spacing w:line="248" w:lineRule="exact"/>
                          <w:ind w:left="1737" w:right="1724"/>
                          <w:jc w:val="center"/>
                          <w:rPr>
                            <w:rFonts w:ascii="Verdana"/>
                            <w:b/>
                            <w:sz w:val="22"/>
                          </w:rPr>
                        </w:pPr>
                        <w:r>
                          <w:rPr>
                            <w:rFonts w:ascii="Verdana"/>
                            <w:b/>
                            <w:sz w:val="22"/>
                          </w:rPr>
                          <w:t>Programa</w:t>
                        </w:r>
                      </w:p>
                    </w:tc>
                  </w:tr>
                  <w:tr>
                    <w:trPr>
                      <w:trHeight w:val="340" w:hRule="atLeast"/>
                    </w:trPr>
                    <w:tc>
                      <w:tcPr>
                        <w:tcW w:w="1776" w:type="dxa"/>
                        <w:shd w:val="clear" w:color="auto" w:fill="BFBFBF"/>
                      </w:tcPr>
                      <w:p>
                        <w:pPr>
                          <w:pStyle w:val="TableParagraph"/>
                          <w:spacing w:line="168" w:lineRule="exact"/>
                          <w:ind w:left="107"/>
                          <w:rPr>
                            <w:rFonts w:ascii="Verdana"/>
                            <w:b/>
                            <w:sz w:val="14"/>
                          </w:rPr>
                        </w:pPr>
                        <w:r>
                          <w:rPr>
                            <w:rFonts w:ascii="Verdana"/>
                            <w:b/>
                            <w:sz w:val="14"/>
                          </w:rPr>
                          <w:t>Instrumento</w:t>
                        </w:r>
                      </w:p>
                    </w:tc>
                    <w:tc>
                      <w:tcPr>
                        <w:tcW w:w="1483" w:type="dxa"/>
                        <w:shd w:val="clear" w:color="auto" w:fill="BFBFBF"/>
                      </w:tcPr>
                      <w:p>
                        <w:pPr>
                          <w:pStyle w:val="TableParagraph"/>
                          <w:spacing w:line="168" w:lineRule="exact"/>
                          <w:ind w:left="205" w:right="197"/>
                          <w:jc w:val="center"/>
                          <w:rPr>
                            <w:rFonts w:ascii="Verdana"/>
                            <w:b/>
                            <w:sz w:val="14"/>
                          </w:rPr>
                        </w:pPr>
                        <w:r>
                          <w:rPr>
                            <w:rFonts w:ascii="Verdana"/>
                            <w:b/>
                            <w:sz w:val="14"/>
                          </w:rPr>
                          <w:t>Transporte</w:t>
                        </w:r>
                      </w:p>
                    </w:tc>
                    <w:tc>
                      <w:tcPr>
                        <w:tcW w:w="1620" w:type="dxa"/>
                        <w:shd w:val="clear" w:color="auto" w:fill="BFBFBF"/>
                      </w:tcPr>
                      <w:p>
                        <w:pPr>
                          <w:pStyle w:val="TableParagraph"/>
                          <w:spacing w:line="168" w:lineRule="exact"/>
                          <w:ind w:left="121" w:right="116"/>
                          <w:jc w:val="center"/>
                          <w:rPr>
                            <w:rFonts w:ascii="Verdana" w:hAnsi="Verdana"/>
                            <w:b/>
                            <w:sz w:val="14"/>
                          </w:rPr>
                        </w:pPr>
                        <w:r>
                          <w:rPr>
                            <w:rFonts w:ascii="Verdana" w:hAnsi="Verdana"/>
                            <w:b/>
                            <w:sz w:val="14"/>
                          </w:rPr>
                          <w:t>Cogeneración</w:t>
                        </w:r>
                      </w:p>
                    </w:tc>
                    <w:tc>
                      <w:tcPr>
                        <w:tcW w:w="1620" w:type="dxa"/>
                        <w:shd w:val="clear" w:color="auto" w:fill="BFBFBF"/>
                      </w:tcPr>
                      <w:p>
                        <w:pPr>
                          <w:pStyle w:val="TableParagraph"/>
                          <w:spacing w:line="170" w:lineRule="exact" w:before="3"/>
                          <w:ind w:left="429" w:firstLine="64"/>
                          <w:rPr>
                            <w:rFonts w:ascii="Verdana" w:hAnsi="Verdana"/>
                            <w:b/>
                            <w:sz w:val="14"/>
                          </w:rPr>
                        </w:pPr>
                        <w:r>
                          <w:rPr>
                            <w:rFonts w:ascii="Verdana" w:hAnsi="Verdana"/>
                            <w:b/>
                            <w:sz w:val="14"/>
                          </w:rPr>
                          <w:t>Motores </w:t>
                        </w:r>
                        <w:r>
                          <w:rPr>
                            <w:rFonts w:ascii="Verdana" w:hAnsi="Verdana"/>
                            <w:b/>
                            <w:w w:val="95"/>
                            <w:sz w:val="14"/>
                          </w:rPr>
                          <w:t>Eléctricos</w:t>
                        </w:r>
                      </w:p>
                    </w:tc>
                  </w:tr>
                  <w:tr>
                    <w:trPr>
                      <w:trHeight w:val="337" w:hRule="atLeast"/>
                    </w:trPr>
                    <w:tc>
                      <w:tcPr>
                        <w:tcW w:w="1776" w:type="dxa"/>
                      </w:tcPr>
                      <w:p>
                        <w:pPr>
                          <w:pStyle w:val="TableParagraph"/>
                          <w:spacing w:line="166" w:lineRule="exact"/>
                          <w:ind w:left="107"/>
                          <w:rPr>
                            <w:rFonts w:ascii="Verdana" w:hAnsi="Verdana"/>
                            <w:sz w:val="14"/>
                          </w:rPr>
                        </w:pPr>
                        <w:r>
                          <w:rPr>
                            <w:rFonts w:ascii="Verdana" w:hAnsi="Verdana"/>
                            <w:sz w:val="14"/>
                          </w:rPr>
                          <w:t>Prospección</w:t>
                        </w:r>
                      </w:p>
                    </w:tc>
                    <w:tc>
                      <w:tcPr>
                        <w:tcW w:w="1483" w:type="dxa"/>
                      </w:tcPr>
                      <w:p>
                        <w:pPr>
                          <w:pStyle w:val="TableParagraph"/>
                          <w:spacing w:line="170" w:lineRule="exact"/>
                          <w:ind w:left="122" w:right="103" w:firstLine="475"/>
                          <w:rPr>
                            <w:rFonts w:ascii="Verdana"/>
                            <w:sz w:val="14"/>
                          </w:rPr>
                        </w:pPr>
                        <w:r>
                          <w:rPr>
                            <w:rFonts w:ascii="Verdana"/>
                            <w:sz w:val="14"/>
                          </w:rPr>
                          <w:t>Muy </w:t>
                        </w:r>
                        <w:r>
                          <w:rPr>
                            <w:rFonts w:ascii="Verdana"/>
                            <w:w w:val="95"/>
                            <w:sz w:val="14"/>
                          </w:rPr>
                          <w:t>recomendado</w:t>
                        </w:r>
                      </w:p>
                    </w:tc>
                    <w:tc>
                      <w:tcPr>
                        <w:tcW w:w="1620" w:type="dxa"/>
                      </w:tcPr>
                      <w:p>
                        <w:pPr>
                          <w:pStyle w:val="TableParagraph"/>
                          <w:spacing w:line="166" w:lineRule="exact"/>
                          <w:ind w:left="122" w:right="114"/>
                          <w:jc w:val="center"/>
                          <w:rPr>
                            <w:rFonts w:ascii="Verdana"/>
                            <w:sz w:val="14"/>
                          </w:rPr>
                        </w:pPr>
                        <w:r>
                          <w:rPr>
                            <w:rFonts w:ascii="Verdana"/>
                            <w:sz w:val="14"/>
                          </w:rPr>
                          <w:t>Necesario</w:t>
                        </w:r>
                      </w:p>
                    </w:tc>
                    <w:tc>
                      <w:tcPr>
                        <w:tcW w:w="1620" w:type="dxa"/>
                      </w:tcPr>
                      <w:p>
                        <w:pPr>
                          <w:pStyle w:val="TableParagraph"/>
                          <w:spacing w:line="166" w:lineRule="exact"/>
                          <w:ind w:left="122" w:right="114"/>
                          <w:jc w:val="center"/>
                          <w:rPr>
                            <w:rFonts w:ascii="Verdana"/>
                            <w:sz w:val="14"/>
                          </w:rPr>
                        </w:pPr>
                        <w:r>
                          <w:rPr>
                            <w:rFonts w:ascii="Verdana"/>
                            <w:sz w:val="14"/>
                          </w:rPr>
                          <w:t>Recomendado</w:t>
                        </w:r>
                      </w:p>
                    </w:tc>
                  </w:tr>
                  <w:tr>
                    <w:trPr>
                      <w:trHeight w:val="506" w:hRule="atLeast"/>
                    </w:trPr>
                    <w:tc>
                      <w:tcPr>
                        <w:tcW w:w="1776" w:type="dxa"/>
                      </w:tcPr>
                      <w:p>
                        <w:pPr>
                          <w:pStyle w:val="TableParagraph"/>
                          <w:spacing w:line="170" w:lineRule="exact" w:before="1"/>
                          <w:ind w:left="107" w:right="147"/>
                          <w:rPr>
                            <w:rFonts w:ascii="Verdana" w:hAnsi="Verdana"/>
                            <w:sz w:val="14"/>
                          </w:rPr>
                        </w:pPr>
                        <w:r>
                          <w:rPr>
                            <w:rFonts w:ascii="Verdana" w:hAnsi="Verdana"/>
                            <w:sz w:val="14"/>
                          </w:rPr>
                          <w:t>Incentivos económicos y </w:t>
                        </w:r>
                        <w:r>
                          <w:rPr>
                            <w:rFonts w:ascii="Verdana" w:hAnsi="Verdana"/>
                            <w:w w:val="95"/>
                            <w:sz w:val="14"/>
                          </w:rPr>
                          <w:t>financiamiento</w:t>
                        </w:r>
                      </w:p>
                    </w:tc>
                    <w:tc>
                      <w:tcPr>
                        <w:tcW w:w="1483" w:type="dxa"/>
                      </w:tcPr>
                      <w:p>
                        <w:pPr>
                          <w:pStyle w:val="TableParagraph"/>
                          <w:spacing w:line="166" w:lineRule="exact"/>
                          <w:ind w:left="205" w:right="198"/>
                          <w:jc w:val="center"/>
                          <w:rPr>
                            <w:rFonts w:ascii="Verdana"/>
                            <w:sz w:val="14"/>
                          </w:rPr>
                        </w:pPr>
                        <w:r>
                          <w:rPr>
                            <w:rFonts w:ascii="Verdana"/>
                            <w:sz w:val="14"/>
                          </w:rPr>
                          <w:t>Necesarios</w:t>
                        </w:r>
                      </w:p>
                    </w:tc>
                    <w:tc>
                      <w:tcPr>
                        <w:tcW w:w="1620" w:type="dxa"/>
                      </w:tcPr>
                      <w:p>
                        <w:pPr>
                          <w:pStyle w:val="TableParagraph"/>
                          <w:spacing w:line="166" w:lineRule="exact"/>
                          <w:ind w:left="122" w:right="114"/>
                          <w:jc w:val="center"/>
                          <w:rPr>
                            <w:rFonts w:ascii="Verdana"/>
                            <w:sz w:val="14"/>
                          </w:rPr>
                        </w:pPr>
                        <w:r>
                          <w:rPr>
                            <w:rFonts w:ascii="Verdana"/>
                            <w:sz w:val="14"/>
                          </w:rPr>
                          <w:t>Necesario</w:t>
                        </w:r>
                      </w:p>
                    </w:tc>
                    <w:tc>
                      <w:tcPr>
                        <w:tcW w:w="1620" w:type="dxa"/>
                      </w:tcPr>
                      <w:p>
                        <w:pPr>
                          <w:pStyle w:val="TableParagraph"/>
                          <w:spacing w:line="166" w:lineRule="exact"/>
                          <w:ind w:left="121" w:right="116"/>
                          <w:jc w:val="center"/>
                          <w:rPr>
                            <w:rFonts w:ascii="Verdana"/>
                            <w:sz w:val="14"/>
                          </w:rPr>
                        </w:pPr>
                        <w:r>
                          <w:rPr>
                            <w:rFonts w:ascii="Verdana"/>
                            <w:sz w:val="14"/>
                          </w:rPr>
                          <w:t>Muy recomendado</w:t>
                        </w:r>
                      </w:p>
                    </w:tc>
                  </w:tr>
                  <w:tr>
                    <w:trPr>
                      <w:trHeight w:val="505" w:hRule="atLeast"/>
                    </w:trPr>
                    <w:tc>
                      <w:tcPr>
                        <w:tcW w:w="1776" w:type="dxa"/>
                      </w:tcPr>
                      <w:p>
                        <w:pPr>
                          <w:pStyle w:val="TableParagraph"/>
                          <w:spacing w:line="166" w:lineRule="exact"/>
                          <w:ind w:left="107"/>
                          <w:rPr>
                            <w:rFonts w:ascii="Verdana" w:hAnsi="Verdana"/>
                            <w:sz w:val="14"/>
                          </w:rPr>
                        </w:pPr>
                        <w:r>
                          <w:rPr>
                            <w:rFonts w:ascii="Verdana" w:hAnsi="Verdana"/>
                            <w:sz w:val="14"/>
                          </w:rPr>
                          <w:t>Regulación y</w:t>
                        </w:r>
                      </w:p>
                      <w:p>
                        <w:pPr>
                          <w:pStyle w:val="TableParagraph"/>
                          <w:spacing w:line="168" w:lineRule="exact" w:before="6"/>
                          <w:ind w:left="107" w:right="147"/>
                          <w:rPr>
                            <w:rFonts w:ascii="Verdana" w:hAnsi="Verdana"/>
                            <w:sz w:val="14"/>
                          </w:rPr>
                        </w:pPr>
                        <w:r>
                          <w:rPr>
                            <w:rFonts w:ascii="Verdana" w:hAnsi="Verdana"/>
                            <w:sz w:val="14"/>
                          </w:rPr>
                          <w:t>certificación de productos y sistemas</w:t>
                        </w:r>
                      </w:p>
                    </w:tc>
                    <w:tc>
                      <w:tcPr>
                        <w:tcW w:w="1483" w:type="dxa"/>
                      </w:tcPr>
                      <w:p>
                        <w:pPr>
                          <w:pStyle w:val="TableParagraph"/>
                          <w:spacing w:line="166" w:lineRule="exact"/>
                          <w:ind w:left="205" w:right="195"/>
                          <w:jc w:val="center"/>
                          <w:rPr>
                            <w:rFonts w:ascii="Verdana"/>
                            <w:sz w:val="14"/>
                          </w:rPr>
                        </w:pPr>
                        <w:r>
                          <w:rPr>
                            <w:rFonts w:ascii="Verdana"/>
                            <w:sz w:val="14"/>
                          </w:rPr>
                          <w:t>Recomendado</w:t>
                        </w:r>
                      </w:p>
                    </w:tc>
                    <w:tc>
                      <w:tcPr>
                        <w:tcW w:w="1620" w:type="dxa"/>
                      </w:tcPr>
                      <w:p>
                        <w:pPr>
                          <w:pStyle w:val="TableParagraph"/>
                          <w:spacing w:line="166" w:lineRule="exact"/>
                          <w:ind w:left="121" w:right="116"/>
                          <w:jc w:val="center"/>
                          <w:rPr>
                            <w:rFonts w:ascii="Verdana"/>
                            <w:sz w:val="14"/>
                          </w:rPr>
                        </w:pPr>
                        <w:r>
                          <w:rPr>
                            <w:rFonts w:ascii="Verdana"/>
                            <w:sz w:val="14"/>
                          </w:rPr>
                          <w:t>No necesario</w:t>
                        </w:r>
                      </w:p>
                    </w:tc>
                    <w:tc>
                      <w:tcPr>
                        <w:tcW w:w="1620" w:type="dxa"/>
                      </w:tcPr>
                      <w:p>
                        <w:pPr>
                          <w:pStyle w:val="TableParagraph"/>
                          <w:spacing w:line="166" w:lineRule="exact"/>
                          <w:ind w:left="122" w:right="114"/>
                          <w:jc w:val="center"/>
                          <w:rPr>
                            <w:rFonts w:ascii="Verdana"/>
                            <w:sz w:val="14"/>
                          </w:rPr>
                        </w:pPr>
                        <w:r>
                          <w:rPr>
                            <w:rFonts w:ascii="Verdana"/>
                            <w:sz w:val="14"/>
                          </w:rPr>
                          <w:t>Necesario</w:t>
                        </w:r>
                      </w:p>
                    </w:tc>
                  </w:tr>
                  <w:tr>
                    <w:trPr>
                      <w:trHeight w:val="338" w:hRule="atLeast"/>
                    </w:trPr>
                    <w:tc>
                      <w:tcPr>
                        <w:tcW w:w="1776" w:type="dxa"/>
                      </w:tcPr>
                      <w:p>
                        <w:pPr>
                          <w:pStyle w:val="TableParagraph"/>
                          <w:spacing w:line="170" w:lineRule="exact" w:before="1"/>
                          <w:ind w:left="107" w:right="102"/>
                          <w:rPr>
                            <w:rFonts w:ascii="Verdana" w:hAnsi="Verdana"/>
                            <w:sz w:val="14"/>
                          </w:rPr>
                        </w:pPr>
                        <w:r>
                          <w:rPr>
                            <w:rFonts w:ascii="Verdana" w:hAnsi="Verdana"/>
                            <w:sz w:val="14"/>
                          </w:rPr>
                          <w:t>Obligaciones al sector público</w:t>
                        </w:r>
                      </w:p>
                    </w:tc>
                    <w:tc>
                      <w:tcPr>
                        <w:tcW w:w="1483" w:type="dxa"/>
                      </w:tcPr>
                      <w:p>
                        <w:pPr>
                          <w:pStyle w:val="TableParagraph"/>
                          <w:spacing w:line="170" w:lineRule="exact" w:before="1"/>
                          <w:ind w:left="182" w:right="103" w:hanging="46"/>
                          <w:rPr>
                            <w:rFonts w:ascii="Verdana" w:hAnsi="Verdana"/>
                            <w:sz w:val="14"/>
                          </w:rPr>
                        </w:pPr>
                        <w:r>
                          <w:rPr>
                            <w:rFonts w:ascii="Verdana" w:hAnsi="Verdana"/>
                            <w:sz w:val="14"/>
                          </w:rPr>
                          <w:t>No tendría efecto significativo</w:t>
                        </w:r>
                      </w:p>
                    </w:tc>
                    <w:tc>
                      <w:tcPr>
                        <w:tcW w:w="1620" w:type="dxa"/>
                      </w:tcPr>
                      <w:p>
                        <w:pPr>
                          <w:pStyle w:val="TableParagraph"/>
                          <w:spacing w:line="166" w:lineRule="exact"/>
                          <w:ind w:left="120" w:right="116"/>
                          <w:jc w:val="center"/>
                          <w:rPr>
                            <w:rFonts w:ascii="Verdana"/>
                            <w:sz w:val="14"/>
                          </w:rPr>
                        </w:pPr>
                        <w:r>
                          <w:rPr>
                            <w:rFonts w:ascii="Verdana"/>
                            <w:sz w:val="14"/>
                          </w:rPr>
                          <w:t>No aplica</w:t>
                        </w:r>
                      </w:p>
                    </w:tc>
                    <w:tc>
                      <w:tcPr>
                        <w:tcW w:w="1620" w:type="dxa"/>
                      </w:tcPr>
                      <w:p>
                        <w:pPr>
                          <w:pStyle w:val="TableParagraph"/>
                          <w:spacing w:line="166" w:lineRule="exact"/>
                          <w:ind w:left="122" w:right="114"/>
                          <w:jc w:val="center"/>
                          <w:rPr>
                            <w:rFonts w:ascii="Verdana"/>
                            <w:sz w:val="14"/>
                          </w:rPr>
                        </w:pPr>
                        <w:r>
                          <w:rPr>
                            <w:rFonts w:ascii="Verdana"/>
                            <w:sz w:val="14"/>
                          </w:rPr>
                          <w:t>Recomendado</w:t>
                        </w:r>
                      </w:p>
                    </w:tc>
                  </w:tr>
                  <w:tr>
                    <w:trPr>
                      <w:trHeight w:val="507" w:hRule="atLeast"/>
                    </w:trPr>
                    <w:tc>
                      <w:tcPr>
                        <w:tcW w:w="1776" w:type="dxa"/>
                      </w:tcPr>
                      <w:p>
                        <w:pPr>
                          <w:pStyle w:val="TableParagraph"/>
                          <w:spacing w:line="170" w:lineRule="exact"/>
                          <w:ind w:left="107" w:right="123"/>
                          <w:rPr>
                            <w:rFonts w:ascii="Verdana"/>
                            <w:sz w:val="14"/>
                          </w:rPr>
                        </w:pPr>
                        <w:r>
                          <w:rPr>
                            <w:rFonts w:ascii="Verdana"/>
                            <w:sz w:val="14"/>
                          </w:rPr>
                          <w:t>Compromisos voluntarios del sector privado</w:t>
                        </w:r>
                      </w:p>
                    </w:tc>
                    <w:tc>
                      <w:tcPr>
                        <w:tcW w:w="1483" w:type="dxa"/>
                      </w:tcPr>
                      <w:p>
                        <w:pPr>
                          <w:pStyle w:val="TableParagraph"/>
                          <w:spacing w:line="166" w:lineRule="exact"/>
                          <w:ind w:left="205" w:right="198"/>
                          <w:jc w:val="center"/>
                          <w:rPr>
                            <w:rFonts w:ascii="Verdana"/>
                            <w:sz w:val="14"/>
                          </w:rPr>
                        </w:pPr>
                        <w:r>
                          <w:rPr>
                            <w:rFonts w:ascii="Verdana"/>
                            <w:sz w:val="14"/>
                          </w:rPr>
                          <w:t>No necesario</w:t>
                        </w:r>
                      </w:p>
                    </w:tc>
                    <w:tc>
                      <w:tcPr>
                        <w:tcW w:w="1620" w:type="dxa"/>
                      </w:tcPr>
                      <w:p>
                        <w:pPr>
                          <w:pStyle w:val="TableParagraph"/>
                          <w:spacing w:line="166" w:lineRule="exact"/>
                          <w:ind w:left="121" w:right="116"/>
                          <w:jc w:val="center"/>
                          <w:rPr>
                            <w:rFonts w:ascii="Verdana"/>
                            <w:sz w:val="14"/>
                          </w:rPr>
                        </w:pPr>
                        <w:r>
                          <w:rPr>
                            <w:rFonts w:ascii="Verdana"/>
                            <w:sz w:val="14"/>
                          </w:rPr>
                          <w:t>No necesario</w:t>
                        </w:r>
                      </w:p>
                    </w:tc>
                    <w:tc>
                      <w:tcPr>
                        <w:tcW w:w="1620" w:type="dxa"/>
                      </w:tcPr>
                      <w:p>
                        <w:pPr>
                          <w:pStyle w:val="TableParagraph"/>
                          <w:spacing w:line="166" w:lineRule="exact"/>
                          <w:ind w:left="122" w:right="115"/>
                          <w:jc w:val="center"/>
                          <w:rPr>
                            <w:rFonts w:ascii="Verdana"/>
                            <w:sz w:val="14"/>
                          </w:rPr>
                        </w:pPr>
                        <w:r>
                          <w:rPr>
                            <w:rFonts w:ascii="Verdana"/>
                            <w:sz w:val="14"/>
                          </w:rPr>
                          <w:t>Recomendado</w:t>
                        </w:r>
                      </w:p>
                    </w:tc>
                  </w:tr>
                  <w:tr>
                    <w:trPr>
                      <w:trHeight w:val="338" w:hRule="atLeast"/>
                    </w:trPr>
                    <w:tc>
                      <w:tcPr>
                        <w:tcW w:w="1776" w:type="dxa"/>
                      </w:tcPr>
                      <w:p>
                        <w:pPr>
                          <w:pStyle w:val="TableParagraph"/>
                          <w:spacing w:line="170" w:lineRule="exact" w:before="1"/>
                          <w:ind w:left="107" w:right="800"/>
                          <w:rPr>
                            <w:rFonts w:ascii="Verdana" w:hAnsi="Verdana"/>
                            <w:sz w:val="14"/>
                          </w:rPr>
                        </w:pPr>
                        <w:r>
                          <w:rPr>
                            <w:rFonts w:ascii="Verdana" w:hAnsi="Verdana"/>
                            <w:sz w:val="14"/>
                          </w:rPr>
                          <w:t>Educación e información</w:t>
                        </w:r>
                      </w:p>
                    </w:tc>
                    <w:tc>
                      <w:tcPr>
                        <w:tcW w:w="1483" w:type="dxa"/>
                      </w:tcPr>
                      <w:p>
                        <w:pPr>
                          <w:pStyle w:val="TableParagraph"/>
                          <w:spacing w:line="167" w:lineRule="exact"/>
                          <w:ind w:left="205" w:right="199"/>
                          <w:jc w:val="center"/>
                          <w:rPr>
                            <w:rFonts w:ascii="Verdana"/>
                            <w:sz w:val="14"/>
                          </w:rPr>
                        </w:pPr>
                        <w:r>
                          <w:rPr>
                            <w:rFonts w:ascii="Verdana"/>
                            <w:sz w:val="14"/>
                          </w:rPr>
                          <w:t>Recomendable</w:t>
                        </w:r>
                      </w:p>
                    </w:tc>
                    <w:tc>
                      <w:tcPr>
                        <w:tcW w:w="1620" w:type="dxa"/>
                      </w:tcPr>
                      <w:p>
                        <w:pPr>
                          <w:pStyle w:val="TableParagraph"/>
                          <w:spacing w:line="167" w:lineRule="exact"/>
                          <w:ind w:left="122" w:right="114"/>
                          <w:jc w:val="center"/>
                          <w:rPr>
                            <w:rFonts w:ascii="Verdana"/>
                            <w:sz w:val="14"/>
                          </w:rPr>
                        </w:pPr>
                        <w:r>
                          <w:rPr>
                            <w:rFonts w:ascii="Verdana"/>
                            <w:sz w:val="14"/>
                          </w:rPr>
                          <w:t>Recomendado</w:t>
                        </w:r>
                      </w:p>
                    </w:tc>
                    <w:tc>
                      <w:tcPr>
                        <w:tcW w:w="1620" w:type="dxa"/>
                      </w:tcPr>
                      <w:p>
                        <w:pPr>
                          <w:pStyle w:val="TableParagraph"/>
                          <w:spacing w:line="167" w:lineRule="exact"/>
                          <w:ind w:left="122" w:right="115"/>
                          <w:jc w:val="center"/>
                          <w:rPr>
                            <w:rFonts w:ascii="Verdana" w:hAnsi="Verdana"/>
                            <w:sz w:val="14"/>
                          </w:rPr>
                        </w:pPr>
                        <w:r>
                          <w:rPr>
                            <w:rFonts w:ascii="Verdana" w:hAnsi="Verdana"/>
                            <w:sz w:val="14"/>
                          </w:rPr>
                          <w:t>Útil</w:t>
                        </w:r>
                      </w:p>
                    </w:tc>
                  </w:tr>
                  <w:tr>
                    <w:trPr>
                      <w:trHeight w:val="679" w:hRule="atLeast"/>
                    </w:trPr>
                    <w:tc>
                      <w:tcPr>
                        <w:tcW w:w="1776" w:type="dxa"/>
                      </w:tcPr>
                      <w:p>
                        <w:pPr>
                          <w:pStyle w:val="TableParagraph"/>
                          <w:ind w:left="107" w:right="866"/>
                          <w:rPr>
                            <w:rFonts w:ascii="Verdana" w:hAnsi="Verdana"/>
                            <w:sz w:val="14"/>
                          </w:rPr>
                        </w:pPr>
                        <w:r>
                          <w:rPr>
                            <w:rFonts w:ascii="Verdana" w:hAnsi="Verdana"/>
                            <w:sz w:val="14"/>
                          </w:rPr>
                          <w:t>Innovación </w:t>
                        </w:r>
                        <w:r>
                          <w:rPr>
                            <w:rFonts w:ascii="Verdana" w:hAnsi="Verdana"/>
                            <w:w w:val="95"/>
                            <w:sz w:val="14"/>
                          </w:rPr>
                          <w:t>tecnológica</w:t>
                        </w:r>
                      </w:p>
                    </w:tc>
                    <w:tc>
                      <w:tcPr>
                        <w:tcW w:w="1483" w:type="dxa"/>
                      </w:tcPr>
                      <w:p>
                        <w:pPr>
                          <w:pStyle w:val="TableParagraph"/>
                          <w:spacing w:line="166" w:lineRule="exact"/>
                          <w:ind w:left="205" w:right="198"/>
                          <w:jc w:val="center"/>
                          <w:rPr>
                            <w:rFonts w:ascii="Verdana"/>
                            <w:sz w:val="14"/>
                          </w:rPr>
                        </w:pPr>
                        <w:r>
                          <w:rPr>
                            <w:rFonts w:ascii="Verdana"/>
                            <w:sz w:val="14"/>
                          </w:rPr>
                          <w:t>No necesario</w:t>
                        </w:r>
                      </w:p>
                    </w:tc>
                    <w:tc>
                      <w:tcPr>
                        <w:tcW w:w="1620" w:type="dxa"/>
                      </w:tcPr>
                      <w:p>
                        <w:pPr>
                          <w:pStyle w:val="TableParagraph"/>
                          <w:spacing w:line="170" w:lineRule="exact"/>
                          <w:ind w:left="122" w:right="114"/>
                          <w:jc w:val="center"/>
                          <w:rPr>
                            <w:rFonts w:ascii="Verdana" w:hAnsi="Verdana"/>
                            <w:sz w:val="14"/>
                          </w:rPr>
                        </w:pPr>
                        <w:r>
                          <w:rPr>
                            <w:rFonts w:ascii="Verdana" w:hAnsi="Verdana"/>
                            <w:sz w:val="14"/>
                          </w:rPr>
                          <w:t>Recomendado (se recomienda la promoción de proyectos piloto)</w:t>
                        </w:r>
                      </w:p>
                    </w:tc>
                    <w:tc>
                      <w:tcPr>
                        <w:tcW w:w="1620" w:type="dxa"/>
                      </w:tcPr>
                      <w:p>
                        <w:pPr>
                          <w:pStyle w:val="TableParagraph"/>
                          <w:spacing w:line="166" w:lineRule="exact"/>
                          <w:ind w:left="121" w:right="116"/>
                          <w:jc w:val="center"/>
                          <w:rPr>
                            <w:rFonts w:ascii="Verdana"/>
                            <w:sz w:val="14"/>
                          </w:rPr>
                        </w:pPr>
                        <w:r>
                          <w:rPr>
                            <w:rFonts w:ascii="Verdana"/>
                            <w:sz w:val="14"/>
                          </w:rPr>
                          <w:t>No necesario</w:t>
                        </w:r>
                      </w:p>
                    </w:tc>
                  </w:tr>
                  <w:tr>
                    <w:trPr>
                      <w:trHeight w:val="339" w:hRule="atLeast"/>
                    </w:trPr>
                    <w:tc>
                      <w:tcPr>
                        <w:tcW w:w="1776" w:type="dxa"/>
                      </w:tcPr>
                      <w:p>
                        <w:pPr>
                          <w:pStyle w:val="TableParagraph"/>
                          <w:spacing w:line="170" w:lineRule="exact" w:before="2"/>
                          <w:ind w:left="107" w:right="601"/>
                          <w:rPr>
                            <w:rFonts w:ascii="Verdana" w:hAnsi="Verdana"/>
                            <w:sz w:val="14"/>
                          </w:rPr>
                        </w:pPr>
                        <w:r>
                          <w:rPr>
                            <w:rFonts w:ascii="Verdana" w:hAnsi="Verdana"/>
                            <w:sz w:val="14"/>
                          </w:rPr>
                          <w:t>Articulación de actores</w:t>
                        </w:r>
                      </w:p>
                    </w:tc>
                    <w:tc>
                      <w:tcPr>
                        <w:tcW w:w="1483" w:type="dxa"/>
                      </w:tcPr>
                      <w:p>
                        <w:pPr>
                          <w:pStyle w:val="TableParagraph"/>
                          <w:spacing w:line="167" w:lineRule="exact"/>
                          <w:ind w:left="205" w:right="195"/>
                          <w:jc w:val="center"/>
                          <w:rPr>
                            <w:rFonts w:ascii="Verdana"/>
                            <w:sz w:val="14"/>
                          </w:rPr>
                        </w:pPr>
                        <w:r>
                          <w:rPr>
                            <w:rFonts w:ascii="Verdana"/>
                            <w:sz w:val="14"/>
                          </w:rPr>
                          <w:t>Necesario</w:t>
                        </w:r>
                      </w:p>
                    </w:tc>
                    <w:tc>
                      <w:tcPr>
                        <w:tcW w:w="1620" w:type="dxa"/>
                      </w:tcPr>
                      <w:p>
                        <w:pPr>
                          <w:pStyle w:val="TableParagraph"/>
                          <w:spacing w:line="167" w:lineRule="exact"/>
                          <w:ind w:left="122" w:right="113"/>
                          <w:jc w:val="center"/>
                          <w:rPr>
                            <w:rFonts w:ascii="Verdana"/>
                            <w:sz w:val="14"/>
                          </w:rPr>
                        </w:pPr>
                        <w:r>
                          <w:rPr>
                            <w:rFonts w:ascii="Verdana"/>
                            <w:sz w:val="14"/>
                          </w:rPr>
                          <w:t>Muy recomendable</w:t>
                        </w:r>
                      </w:p>
                    </w:tc>
                    <w:tc>
                      <w:tcPr>
                        <w:tcW w:w="1620" w:type="dxa"/>
                      </w:tcPr>
                      <w:p>
                        <w:pPr>
                          <w:pStyle w:val="TableParagraph"/>
                          <w:spacing w:line="167" w:lineRule="exact"/>
                          <w:ind w:left="122" w:right="113"/>
                          <w:jc w:val="center"/>
                          <w:rPr>
                            <w:rFonts w:ascii="Verdana"/>
                            <w:sz w:val="14"/>
                          </w:rPr>
                        </w:pPr>
                        <w:r>
                          <w:rPr>
                            <w:rFonts w:ascii="Verdana"/>
                            <w:sz w:val="14"/>
                          </w:rPr>
                          <w:t>Muy recomendable</w:t>
                        </w:r>
                      </w:p>
                    </w:tc>
                  </w:tr>
                </w:tbl>
                <w:p>
                  <w:pPr>
                    <w:pStyle w:val="BodyText"/>
                  </w:pPr>
                </w:p>
              </w:txbxContent>
            </v:textbox>
            <w10:wrap type="none"/>
          </v:shape>
        </w:pict>
      </w:r>
      <w:r>
        <w:rPr>
          <w:sz w:val="20"/>
        </w:rPr>
        <w:t>Fuente: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94"/>
        <w:ind w:left="240" w:right="1060" w:firstLine="0"/>
        <w:jc w:val="left"/>
        <w:rPr>
          <w:sz w:val="20"/>
        </w:rPr>
      </w:pPr>
      <w:r>
        <w:rPr>
          <w:b/>
          <w:sz w:val="20"/>
        </w:rPr>
        <w:t>DIAGNÓSTICO Y DEFINICIÓN DE LÍNEAS ESTRATÉGICAS SOBRE EL USO RACIONAL DE ENERGÍA (URE) EN REPÚBLICA DOMINICANA, </w:t>
      </w:r>
      <w:r>
        <w:rPr>
          <w:sz w:val="20"/>
        </w:rPr>
        <w:t>Odón de Buen R., Enero de 2008.</w:t>
      </w:r>
    </w:p>
    <w:p>
      <w:pPr>
        <w:spacing w:after="0"/>
        <w:jc w:val="left"/>
        <w:rPr>
          <w:sz w:val="20"/>
        </w:rPr>
        <w:sectPr>
          <w:pgSz w:w="12240" w:h="15840"/>
          <w:pgMar w:header="718" w:footer="954" w:top="1360" w:bottom="1140" w:left="1200" w:right="380"/>
        </w:sectPr>
      </w:pPr>
    </w:p>
    <w:p>
      <w:pPr>
        <w:pStyle w:val="BodyText"/>
        <w:spacing w:line="20" w:lineRule="exact"/>
        <w:ind w:left="211"/>
        <w:rPr>
          <w:sz w:val="2"/>
        </w:rPr>
      </w:pPr>
      <w:r>
        <w:rPr>
          <w:sz w:val="2"/>
        </w:rPr>
        <w:pict>
          <v:group style="width:470.9pt;height:.5pt;mso-position-horizontal-relative:char;mso-position-vertical-relative:line" coordorigin="0,0" coordsize="9418,10">
            <v:rect style="position:absolute;left:0;top:0;width:9418;height:10" filled="true" fillcolor="#000000" stroked="false">
              <v:fill type="solid"/>
            </v:rect>
          </v:group>
        </w:pict>
      </w:r>
      <w:r>
        <w:rPr>
          <w:sz w:val="2"/>
        </w:rPr>
      </w:r>
    </w:p>
    <w:p>
      <w:pPr>
        <w:pStyle w:val="BodyText"/>
        <w:spacing w:before="5"/>
        <w:rPr>
          <w:sz w:val="12"/>
        </w:rPr>
      </w:pPr>
    </w:p>
    <w:p>
      <w:pPr>
        <w:pStyle w:val="Heading4"/>
        <w:numPr>
          <w:ilvl w:val="1"/>
          <w:numId w:val="54"/>
        </w:numPr>
        <w:tabs>
          <w:tab w:pos="1312" w:val="left" w:leader="none"/>
          <w:tab w:pos="1313" w:val="left" w:leader="none"/>
          <w:tab w:pos="3134" w:val="left" w:leader="none"/>
          <w:tab w:pos="3719" w:val="left" w:leader="none"/>
          <w:tab w:pos="6381" w:val="left" w:leader="none"/>
          <w:tab w:pos="7358" w:val="left" w:leader="none"/>
          <w:tab w:pos="7919" w:val="left" w:leader="none"/>
        </w:tabs>
        <w:spacing w:line="240" w:lineRule="auto" w:before="100" w:after="0"/>
        <w:ind w:left="1319" w:right="1059" w:hanging="1080"/>
        <w:jc w:val="left"/>
      </w:pPr>
      <w:bookmarkStart w:name="_TOC_250034" w:id="65"/>
      <w:r>
        <w:rPr/>
        <w:t>PROGRAMA</w:t>
        <w:tab/>
        <w:t>DE</w:t>
        <w:tab/>
        <w:t>NORMALIZACIÓN</w:t>
        <w:tab/>
        <w:t>PARA</w:t>
        <w:tab/>
        <w:t>LA</w:t>
        <w:tab/>
      </w:r>
      <w:r>
        <w:rPr>
          <w:spacing w:val="-3"/>
        </w:rPr>
        <w:t>EFICIENCIA </w:t>
      </w:r>
      <w:bookmarkEnd w:id="65"/>
      <w:r>
        <w:rPr/>
        <w:t>ENERGÉTICA</w:t>
      </w:r>
    </w:p>
    <w:p>
      <w:pPr>
        <w:pStyle w:val="BodyText"/>
        <w:spacing w:before="10"/>
        <w:rPr>
          <w:rFonts w:ascii="Verdana"/>
          <w:b/>
          <w:sz w:val="22"/>
        </w:rPr>
      </w:pPr>
    </w:p>
    <w:p>
      <w:pPr>
        <w:pStyle w:val="BodyText"/>
        <w:ind w:left="239" w:right="1055"/>
        <w:jc w:val="both"/>
      </w:pPr>
      <w:r>
        <w:rPr/>
        <w:t>Una de las barreras más importantes para el desarrollo de programas de ahorro de energía y de energías renovables en países en desarrollo es la carencia de sistemas de normas y regulaciones técnicas que permitan asegurar la calidad y el rendimiento de los equipos que adquieren las familias y las empresas con la intención de ahorrar energía y aprovechar energías renovables.</w:t>
      </w:r>
    </w:p>
    <w:p>
      <w:pPr>
        <w:pStyle w:val="BodyText"/>
      </w:pPr>
    </w:p>
    <w:p>
      <w:pPr>
        <w:pStyle w:val="BodyText"/>
        <w:ind w:left="239" w:right="1053"/>
        <w:jc w:val="both"/>
      </w:pPr>
      <w:r>
        <w:rPr/>
        <w:t>Sin estas normas se corre el riesgo de hacer inversiones que no son rentables porque no cumplen las características de eficiencia y/o rendimiento energético o que no llegan a tener la vida útil suficiente para recuperar la inversión. El hecho es que el problema no es tanto la carencia de las regulaciones (que se pueden hasta copiar y/o traducir de otros contextos) sino la carencia de los sistemas que los hacen posibles y funcionales, lo cual implica un laboratorio que haga las pruebas, un organismo de acreditación que se asegure de que el laboratorio haga esas pruebas conforme a las prácticas que le corresponden y un organismo que dé la certificación a las pruebas del</w:t>
      </w:r>
      <w:r>
        <w:rPr>
          <w:spacing w:val="-5"/>
        </w:rPr>
        <w:t> </w:t>
      </w:r>
      <w:r>
        <w:rPr/>
        <w:t>laboratorio.</w:t>
      </w:r>
    </w:p>
    <w:p>
      <w:pPr>
        <w:pStyle w:val="BodyText"/>
        <w:spacing w:before="12"/>
        <w:rPr>
          <w:sz w:val="22"/>
        </w:rPr>
      </w:pPr>
    </w:p>
    <w:p>
      <w:pPr>
        <w:pStyle w:val="BodyText"/>
        <w:ind w:left="239" w:right="1055"/>
        <w:jc w:val="both"/>
      </w:pPr>
      <w:r>
        <w:rPr/>
        <w:t>Las prioridades de eficiencia energética han llevado a que se implanten normas y sistemas de certificación para un conjunto de equipos y sistemas que utilizan energía y que serían  de utilidad en República Dominicana. Estas normas no tienen que ser necesariamente de eficiencia energética per-se sino que pueden ser solamente para certificar ciertas características de los equipos (en particular su durabilidad y su rendimiento</w:t>
      </w:r>
      <w:r>
        <w:rPr>
          <w:spacing w:val="-18"/>
        </w:rPr>
        <w:t> </w:t>
      </w:r>
      <w:r>
        <w:rPr/>
        <w:t>energético)</w:t>
      </w:r>
    </w:p>
    <w:p>
      <w:pPr>
        <w:pStyle w:val="BodyText"/>
        <w:rPr>
          <w:sz w:val="33"/>
        </w:rPr>
      </w:pPr>
    </w:p>
    <w:p>
      <w:pPr>
        <w:pStyle w:val="ListParagraph"/>
        <w:numPr>
          <w:ilvl w:val="0"/>
          <w:numId w:val="55"/>
        </w:numPr>
        <w:tabs>
          <w:tab w:pos="599" w:val="left" w:leader="none"/>
          <w:tab w:pos="600" w:val="left" w:leader="none"/>
        </w:tabs>
        <w:spacing w:line="281" w:lineRule="exact" w:before="0" w:after="0"/>
        <w:ind w:left="600" w:right="0" w:hanging="361"/>
        <w:jc w:val="left"/>
        <w:rPr>
          <w:sz w:val="23"/>
        </w:rPr>
      </w:pPr>
      <w:r>
        <w:rPr>
          <w:sz w:val="23"/>
        </w:rPr>
        <w:t>Equipos</w:t>
      </w:r>
    </w:p>
    <w:p>
      <w:pPr>
        <w:pStyle w:val="ListParagraph"/>
        <w:numPr>
          <w:ilvl w:val="2"/>
          <w:numId w:val="54"/>
        </w:numPr>
        <w:tabs>
          <w:tab w:pos="1680" w:val="left" w:leader="none"/>
        </w:tabs>
        <w:spacing w:line="276" w:lineRule="exact" w:before="0" w:after="0"/>
        <w:ind w:left="1679" w:right="0" w:hanging="361"/>
        <w:jc w:val="left"/>
        <w:rPr>
          <w:sz w:val="23"/>
        </w:rPr>
      </w:pPr>
      <w:r>
        <w:rPr>
          <w:sz w:val="23"/>
        </w:rPr>
        <w:t>Refrigeradores y</w:t>
      </w:r>
      <w:r>
        <w:rPr>
          <w:spacing w:val="-3"/>
          <w:sz w:val="23"/>
        </w:rPr>
        <w:t> </w:t>
      </w:r>
      <w:r>
        <w:rPr>
          <w:sz w:val="23"/>
        </w:rPr>
        <w:t>neveras</w:t>
      </w:r>
    </w:p>
    <w:p>
      <w:pPr>
        <w:pStyle w:val="ListParagraph"/>
        <w:numPr>
          <w:ilvl w:val="2"/>
          <w:numId w:val="54"/>
        </w:numPr>
        <w:tabs>
          <w:tab w:pos="1680" w:val="left" w:leader="none"/>
        </w:tabs>
        <w:spacing w:line="277" w:lineRule="exact" w:before="0" w:after="0"/>
        <w:ind w:left="1679" w:right="0" w:hanging="361"/>
        <w:jc w:val="left"/>
        <w:rPr>
          <w:sz w:val="23"/>
        </w:rPr>
      </w:pPr>
      <w:r>
        <w:rPr>
          <w:sz w:val="23"/>
        </w:rPr>
        <w:t>Motores</w:t>
      </w:r>
      <w:r>
        <w:rPr>
          <w:spacing w:val="-3"/>
          <w:sz w:val="23"/>
        </w:rPr>
        <w:t> </w:t>
      </w:r>
      <w:r>
        <w:rPr>
          <w:sz w:val="23"/>
        </w:rPr>
        <w:t>eléctricos</w:t>
      </w:r>
    </w:p>
    <w:p>
      <w:pPr>
        <w:pStyle w:val="ListParagraph"/>
        <w:numPr>
          <w:ilvl w:val="2"/>
          <w:numId w:val="54"/>
        </w:numPr>
        <w:tabs>
          <w:tab w:pos="1680" w:val="left" w:leader="none"/>
        </w:tabs>
        <w:spacing w:line="240" w:lineRule="auto" w:before="1" w:after="0"/>
        <w:ind w:left="1679" w:right="0" w:hanging="361"/>
        <w:jc w:val="left"/>
        <w:rPr>
          <w:sz w:val="23"/>
        </w:rPr>
      </w:pPr>
      <w:r>
        <w:rPr>
          <w:sz w:val="23"/>
        </w:rPr>
        <w:t>Equipos de aire</w:t>
      </w:r>
      <w:r>
        <w:rPr>
          <w:spacing w:val="1"/>
          <w:sz w:val="23"/>
        </w:rPr>
        <w:t> </w:t>
      </w:r>
      <w:r>
        <w:rPr>
          <w:sz w:val="23"/>
        </w:rPr>
        <w:t>acondicionado</w:t>
      </w:r>
    </w:p>
    <w:p>
      <w:pPr>
        <w:pStyle w:val="ListParagraph"/>
        <w:numPr>
          <w:ilvl w:val="2"/>
          <w:numId w:val="54"/>
        </w:numPr>
        <w:tabs>
          <w:tab w:pos="1680" w:val="left" w:leader="none"/>
        </w:tabs>
        <w:spacing w:line="277" w:lineRule="exact" w:before="1" w:after="0"/>
        <w:ind w:left="1679" w:right="0" w:hanging="361"/>
        <w:jc w:val="left"/>
        <w:rPr>
          <w:sz w:val="23"/>
        </w:rPr>
      </w:pPr>
      <w:r>
        <w:rPr>
          <w:sz w:val="23"/>
        </w:rPr>
        <w:t>Lavadoras de ropa</w:t>
      </w:r>
    </w:p>
    <w:p>
      <w:pPr>
        <w:pStyle w:val="ListParagraph"/>
        <w:numPr>
          <w:ilvl w:val="2"/>
          <w:numId w:val="54"/>
        </w:numPr>
        <w:tabs>
          <w:tab w:pos="1680" w:val="left" w:leader="none"/>
        </w:tabs>
        <w:spacing w:line="277" w:lineRule="exact" w:before="0" w:after="0"/>
        <w:ind w:left="1679" w:right="0" w:hanging="361"/>
        <w:jc w:val="left"/>
        <w:rPr>
          <w:sz w:val="23"/>
        </w:rPr>
      </w:pPr>
      <w:r>
        <w:rPr>
          <w:sz w:val="23"/>
        </w:rPr>
        <w:t>Calentadores</w:t>
      </w:r>
      <w:r>
        <w:rPr>
          <w:spacing w:val="-1"/>
          <w:sz w:val="23"/>
        </w:rPr>
        <w:t> </w:t>
      </w:r>
      <w:r>
        <w:rPr>
          <w:sz w:val="23"/>
        </w:rPr>
        <w:t>solares</w:t>
      </w:r>
    </w:p>
    <w:p>
      <w:pPr>
        <w:pStyle w:val="ListParagraph"/>
        <w:numPr>
          <w:ilvl w:val="2"/>
          <w:numId w:val="54"/>
        </w:numPr>
        <w:tabs>
          <w:tab w:pos="1679" w:val="left" w:leader="none"/>
          <w:tab w:pos="1680" w:val="left" w:leader="none"/>
        </w:tabs>
        <w:spacing w:line="240" w:lineRule="auto" w:before="1" w:after="0"/>
        <w:ind w:left="1679" w:right="0" w:hanging="361"/>
        <w:jc w:val="left"/>
        <w:rPr>
          <w:sz w:val="23"/>
        </w:rPr>
      </w:pPr>
      <w:r>
        <w:rPr>
          <w:sz w:val="23"/>
        </w:rPr>
        <w:t>Calderas</w:t>
      </w:r>
    </w:p>
    <w:p>
      <w:pPr>
        <w:pStyle w:val="ListParagraph"/>
        <w:numPr>
          <w:ilvl w:val="0"/>
          <w:numId w:val="55"/>
        </w:numPr>
        <w:tabs>
          <w:tab w:pos="599" w:val="left" w:leader="none"/>
          <w:tab w:pos="600" w:val="left" w:leader="none"/>
        </w:tabs>
        <w:spacing w:line="279" w:lineRule="exact" w:before="2" w:after="0"/>
        <w:ind w:left="599" w:right="0" w:hanging="361"/>
        <w:jc w:val="left"/>
        <w:rPr>
          <w:sz w:val="23"/>
        </w:rPr>
      </w:pPr>
      <w:r>
        <w:rPr>
          <w:sz w:val="23"/>
        </w:rPr>
        <w:t>Sistemas</w:t>
      </w:r>
    </w:p>
    <w:p>
      <w:pPr>
        <w:pStyle w:val="ListParagraph"/>
        <w:numPr>
          <w:ilvl w:val="0"/>
          <w:numId w:val="57"/>
        </w:numPr>
        <w:tabs>
          <w:tab w:pos="1680" w:val="left" w:leader="none"/>
        </w:tabs>
        <w:spacing w:line="274" w:lineRule="exact" w:before="0" w:after="0"/>
        <w:ind w:left="1679" w:right="0" w:hanging="361"/>
        <w:jc w:val="left"/>
        <w:rPr>
          <w:sz w:val="23"/>
        </w:rPr>
      </w:pPr>
      <w:r>
        <w:rPr>
          <w:sz w:val="23"/>
        </w:rPr>
        <w:t>Envolvente de</w:t>
      </w:r>
      <w:r>
        <w:rPr>
          <w:spacing w:val="1"/>
          <w:sz w:val="23"/>
        </w:rPr>
        <w:t> </w:t>
      </w:r>
      <w:r>
        <w:rPr>
          <w:sz w:val="23"/>
        </w:rPr>
        <w:t>edificios</w:t>
      </w:r>
    </w:p>
    <w:p>
      <w:pPr>
        <w:pStyle w:val="ListParagraph"/>
        <w:numPr>
          <w:ilvl w:val="0"/>
          <w:numId w:val="57"/>
        </w:numPr>
        <w:tabs>
          <w:tab w:pos="1680" w:val="left" w:leader="none"/>
        </w:tabs>
        <w:spacing w:line="277" w:lineRule="exact" w:before="0" w:after="0"/>
        <w:ind w:left="1679" w:right="0" w:hanging="361"/>
        <w:jc w:val="left"/>
        <w:rPr>
          <w:sz w:val="23"/>
        </w:rPr>
      </w:pPr>
      <w:r>
        <w:rPr>
          <w:sz w:val="23"/>
        </w:rPr>
        <w:t>Sistemas de iluminación en</w:t>
      </w:r>
      <w:r>
        <w:rPr>
          <w:spacing w:val="3"/>
          <w:sz w:val="23"/>
        </w:rPr>
        <w:t> </w:t>
      </w:r>
      <w:r>
        <w:rPr>
          <w:sz w:val="23"/>
        </w:rPr>
        <w:t>edificios</w:t>
      </w:r>
    </w:p>
    <w:p>
      <w:pPr>
        <w:pStyle w:val="ListParagraph"/>
        <w:numPr>
          <w:ilvl w:val="0"/>
          <w:numId w:val="57"/>
        </w:numPr>
        <w:tabs>
          <w:tab w:pos="1680" w:val="left" w:leader="none"/>
        </w:tabs>
        <w:spacing w:line="240" w:lineRule="auto" w:before="0" w:after="0"/>
        <w:ind w:left="1679" w:right="0" w:hanging="361"/>
        <w:jc w:val="left"/>
        <w:rPr>
          <w:sz w:val="23"/>
        </w:rPr>
      </w:pPr>
      <w:r>
        <w:rPr>
          <w:sz w:val="23"/>
        </w:rPr>
        <w:t>Sistemas de alumbrado</w:t>
      </w:r>
      <w:r>
        <w:rPr>
          <w:spacing w:val="-2"/>
          <w:sz w:val="23"/>
        </w:rPr>
        <w:t> </w:t>
      </w:r>
      <w:r>
        <w:rPr>
          <w:sz w:val="23"/>
        </w:rPr>
        <w:t>público</w:t>
      </w:r>
    </w:p>
    <w:p>
      <w:pPr>
        <w:pStyle w:val="ListParagraph"/>
        <w:numPr>
          <w:ilvl w:val="0"/>
          <w:numId w:val="57"/>
        </w:numPr>
        <w:tabs>
          <w:tab w:pos="1680" w:val="left" w:leader="none"/>
        </w:tabs>
        <w:spacing w:line="277" w:lineRule="exact" w:before="1" w:after="0"/>
        <w:ind w:left="1679" w:right="0" w:hanging="361"/>
        <w:jc w:val="left"/>
        <w:rPr>
          <w:sz w:val="23"/>
        </w:rPr>
      </w:pPr>
      <w:r>
        <w:rPr>
          <w:sz w:val="23"/>
        </w:rPr>
        <w:t>Sistemas de bombeo de</w:t>
      </w:r>
      <w:r>
        <w:rPr>
          <w:spacing w:val="2"/>
          <w:sz w:val="23"/>
        </w:rPr>
        <w:t> </w:t>
      </w:r>
      <w:r>
        <w:rPr>
          <w:sz w:val="23"/>
        </w:rPr>
        <w:t>agua</w:t>
      </w:r>
    </w:p>
    <w:p>
      <w:pPr>
        <w:pStyle w:val="ListParagraph"/>
        <w:numPr>
          <w:ilvl w:val="0"/>
          <w:numId w:val="57"/>
        </w:numPr>
        <w:tabs>
          <w:tab w:pos="1673" w:val="left" w:leader="none"/>
        </w:tabs>
        <w:spacing w:line="277" w:lineRule="exact" w:before="0" w:after="0"/>
        <w:ind w:left="1672" w:right="0" w:hanging="356"/>
        <w:jc w:val="left"/>
        <w:rPr>
          <w:sz w:val="23"/>
        </w:rPr>
      </w:pPr>
      <w:r>
        <w:rPr>
          <w:sz w:val="23"/>
        </w:rPr>
        <w:t>De calentamiento solar</w:t>
      </w:r>
    </w:p>
    <w:p>
      <w:pPr>
        <w:pStyle w:val="BodyText"/>
        <w:spacing w:before="1"/>
        <w:ind w:left="239"/>
      </w:pPr>
      <w:r>
        <w:rPr/>
        <w:t>Para establecer el sistema de etiquetado en equipos nuevos y en el mercado se requiere:</w:t>
      </w:r>
    </w:p>
    <w:p>
      <w:pPr>
        <w:pStyle w:val="BodyText"/>
      </w:pPr>
    </w:p>
    <w:p>
      <w:pPr>
        <w:pStyle w:val="ListParagraph"/>
        <w:numPr>
          <w:ilvl w:val="0"/>
          <w:numId w:val="55"/>
        </w:numPr>
        <w:tabs>
          <w:tab w:pos="599" w:val="left" w:leader="none"/>
          <w:tab w:pos="600" w:val="left" w:leader="none"/>
        </w:tabs>
        <w:spacing w:line="240" w:lineRule="auto" w:before="0" w:after="0"/>
        <w:ind w:left="599" w:right="0" w:hanging="361"/>
        <w:jc w:val="left"/>
        <w:rPr>
          <w:sz w:val="23"/>
        </w:rPr>
      </w:pPr>
      <w:r>
        <w:rPr>
          <w:b/>
          <w:sz w:val="23"/>
        </w:rPr>
        <w:t>Reforzar el sistema nacional de normalización. </w:t>
      </w:r>
      <w:r>
        <w:rPr>
          <w:sz w:val="23"/>
        </w:rPr>
        <w:t>En</w:t>
      </w:r>
      <w:r>
        <w:rPr>
          <w:spacing w:val="3"/>
          <w:sz w:val="23"/>
        </w:rPr>
        <w:t> </w:t>
      </w:r>
      <w:r>
        <w:rPr>
          <w:sz w:val="23"/>
        </w:rPr>
        <w:t>particular:</w:t>
      </w:r>
    </w:p>
    <w:p>
      <w:pPr>
        <w:pStyle w:val="BodyText"/>
        <w:spacing w:before="8"/>
        <w:rPr>
          <w:sz w:val="22"/>
        </w:rPr>
      </w:pPr>
    </w:p>
    <w:p>
      <w:pPr>
        <w:pStyle w:val="BodyText"/>
        <w:tabs>
          <w:tab w:pos="1319" w:val="left" w:leader="none"/>
        </w:tabs>
        <w:spacing w:line="289" w:lineRule="exact" w:before="1"/>
        <w:ind w:left="959"/>
      </w:pPr>
      <w:r>
        <w:rPr>
          <w:rFonts w:ascii="Courier New" w:hAnsi="Courier New"/>
        </w:rPr>
        <w:t>o</w:t>
        <w:tab/>
      </w:r>
      <w:r>
        <w:rPr/>
        <w:t>Establecer un laboratorio de lo que se clasifica como “metrología</w:t>
      </w:r>
      <w:r>
        <w:rPr>
          <w:spacing w:val="-6"/>
        </w:rPr>
        <w:t> </w:t>
      </w:r>
      <w:r>
        <w:rPr/>
        <w:t>legal”.</w:t>
      </w:r>
    </w:p>
    <w:p>
      <w:pPr>
        <w:pStyle w:val="ListParagraph"/>
        <w:numPr>
          <w:ilvl w:val="1"/>
          <w:numId w:val="55"/>
        </w:numPr>
        <w:tabs>
          <w:tab w:pos="1319" w:val="left" w:leader="none"/>
          <w:tab w:pos="1320" w:val="left" w:leader="none"/>
        </w:tabs>
        <w:spacing w:line="223" w:lineRule="auto" w:before="4" w:after="0"/>
        <w:ind w:left="1319" w:right="1055" w:hanging="360"/>
        <w:jc w:val="left"/>
        <w:rPr>
          <w:sz w:val="23"/>
        </w:rPr>
      </w:pPr>
      <w:r>
        <w:rPr>
          <w:sz w:val="23"/>
        </w:rPr>
        <w:t>Ampliar la participación de la sociedad en la normalización (en particular de las grandes asociaciones de empresas, de los académicos y de diversas</w:t>
      </w:r>
      <w:r>
        <w:rPr>
          <w:spacing w:val="-13"/>
          <w:sz w:val="23"/>
        </w:rPr>
        <w:t> </w:t>
      </w:r>
      <w:r>
        <w:rPr>
          <w:sz w:val="23"/>
        </w:rPr>
        <w:t>ONGs).</w:t>
      </w:r>
    </w:p>
    <w:p>
      <w:pPr>
        <w:spacing w:after="0" w:line="223" w:lineRule="auto"/>
        <w:jc w:val="left"/>
        <w:rPr>
          <w:sz w:val="23"/>
        </w:rPr>
        <w:sectPr>
          <w:headerReference w:type="default" r:id="rId58"/>
          <w:footerReference w:type="default" r:id="rId59"/>
          <w:pgSz w:w="12240" w:h="15840"/>
          <w:pgMar w:header="718" w:footer="954" w:top="1340" w:bottom="1140" w:left="1200" w:right="380"/>
          <w:pgNumType w:start="75"/>
        </w:sectPr>
      </w:pPr>
    </w:p>
    <w:p>
      <w:pPr>
        <w:pStyle w:val="BodyText"/>
        <w:spacing w:before="6"/>
        <w:rPr>
          <w:sz w:val="11"/>
        </w:rPr>
      </w:pPr>
    </w:p>
    <w:p>
      <w:pPr>
        <w:pStyle w:val="ListParagraph"/>
        <w:numPr>
          <w:ilvl w:val="0"/>
          <w:numId w:val="55"/>
        </w:numPr>
        <w:tabs>
          <w:tab w:pos="600" w:val="left" w:leader="none"/>
        </w:tabs>
        <w:spacing w:line="237" w:lineRule="auto" w:before="102" w:after="0"/>
        <w:ind w:left="599" w:right="1055" w:hanging="360"/>
        <w:jc w:val="both"/>
        <w:rPr>
          <w:sz w:val="23"/>
        </w:rPr>
      </w:pPr>
      <w:r>
        <w:rPr>
          <w:b/>
          <w:sz w:val="23"/>
        </w:rPr>
        <w:t>Armonizar las etiquetas que se manejan en el país. </w:t>
      </w:r>
      <w:r>
        <w:rPr>
          <w:sz w:val="23"/>
        </w:rPr>
        <w:t>Los equipos en el mercado van acompañados de etiquetas de Estados Unidos, Canadá, México, Costa Rica y Venezuela, lo que confunde a los consumidores. Por lo</w:t>
      </w:r>
      <w:r>
        <w:rPr>
          <w:spacing w:val="-3"/>
          <w:sz w:val="23"/>
        </w:rPr>
        <w:t> </w:t>
      </w:r>
      <w:r>
        <w:rPr>
          <w:sz w:val="23"/>
        </w:rPr>
        <w:t>mismo:</w:t>
      </w:r>
    </w:p>
    <w:p>
      <w:pPr>
        <w:pStyle w:val="BodyText"/>
        <w:spacing w:before="9"/>
        <w:rPr>
          <w:sz w:val="24"/>
        </w:rPr>
      </w:pPr>
    </w:p>
    <w:p>
      <w:pPr>
        <w:pStyle w:val="BodyText"/>
        <w:tabs>
          <w:tab w:pos="1319" w:val="left" w:leader="none"/>
          <w:tab w:pos="4975" w:val="left" w:leader="none"/>
        </w:tabs>
        <w:spacing w:line="220" w:lineRule="auto"/>
        <w:ind w:left="1319" w:right="1060" w:hanging="360"/>
      </w:pPr>
      <w:r>
        <w:rPr>
          <w:rFonts w:ascii="Courier New" w:hAnsi="Courier New"/>
        </w:rPr>
        <w:t>o</w:t>
        <w:tab/>
      </w:r>
      <w:r>
        <w:rPr/>
        <w:t>Esto  requiere  de</w:t>
      </w:r>
      <w:r>
        <w:rPr>
          <w:spacing w:val="62"/>
        </w:rPr>
        <w:t> </w:t>
      </w:r>
      <w:r>
        <w:rPr/>
        <w:t>tener</w:t>
      </w:r>
      <w:r>
        <w:rPr>
          <w:spacing w:val="68"/>
        </w:rPr>
        <w:t> </w:t>
      </w:r>
      <w:r>
        <w:rPr/>
        <w:t>normas</w:t>
        <w:tab/>
        <w:t>sobre etiquetado específico para República Dominicana que incluyan método de prueba.</w:t>
      </w:r>
    </w:p>
    <w:p>
      <w:pPr>
        <w:pStyle w:val="ListParagraph"/>
        <w:numPr>
          <w:ilvl w:val="1"/>
          <w:numId w:val="55"/>
        </w:numPr>
        <w:tabs>
          <w:tab w:pos="1319" w:val="left" w:leader="none"/>
          <w:tab w:pos="1320" w:val="left" w:leader="none"/>
        </w:tabs>
        <w:spacing w:line="223" w:lineRule="auto" w:before="20" w:after="0"/>
        <w:ind w:left="1319" w:right="1056" w:hanging="360"/>
        <w:jc w:val="left"/>
        <w:rPr>
          <w:sz w:val="23"/>
        </w:rPr>
      </w:pPr>
      <w:r>
        <w:rPr>
          <w:sz w:val="23"/>
        </w:rPr>
        <w:t>Promover el que en República Dominicana haya reconocimientos mutuos de laboratorios con reconocimiento legal.</w:t>
      </w:r>
    </w:p>
    <w:p>
      <w:pPr>
        <w:pStyle w:val="BodyText"/>
        <w:spacing w:before="3"/>
      </w:pPr>
    </w:p>
    <w:p>
      <w:pPr>
        <w:pStyle w:val="ListParagraph"/>
        <w:numPr>
          <w:ilvl w:val="0"/>
          <w:numId w:val="55"/>
        </w:numPr>
        <w:tabs>
          <w:tab w:pos="600" w:val="left" w:leader="none"/>
        </w:tabs>
        <w:spacing w:line="240" w:lineRule="auto" w:before="1" w:after="0"/>
        <w:ind w:left="599" w:right="1055" w:hanging="360"/>
        <w:jc w:val="both"/>
        <w:rPr>
          <w:sz w:val="23"/>
        </w:rPr>
      </w:pPr>
      <w:r>
        <w:rPr>
          <w:b/>
          <w:sz w:val="23"/>
        </w:rPr>
        <w:t>Establecer una alianza estratégica entre DIGENOR y la CNE. </w:t>
      </w:r>
      <w:r>
        <w:rPr>
          <w:sz w:val="23"/>
        </w:rPr>
        <w:t>Es recomendable una relación institucional más cercana entre los dos organismos de manera que la CNE aproveche las capacidades de DIGENOR y que ésta última aproveche las necesidades de eficiencia energética para el país que la CNE representa y así obtener mayores apoyos a su funcionamiento.</w:t>
      </w:r>
    </w:p>
    <w:p>
      <w:pPr>
        <w:pStyle w:val="BodyText"/>
        <w:rPr>
          <w:sz w:val="28"/>
        </w:rPr>
      </w:pPr>
    </w:p>
    <w:p>
      <w:pPr>
        <w:pStyle w:val="Heading4"/>
        <w:numPr>
          <w:ilvl w:val="1"/>
          <w:numId w:val="54"/>
        </w:numPr>
        <w:tabs>
          <w:tab w:pos="1075" w:val="left" w:leader="none"/>
          <w:tab w:pos="1076" w:val="left" w:leader="none"/>
        </w:tabs>
        <w:spacing w:line="240" w:lineRule="auto" w:before="213" w:after="0"/>
        <w:ind w:left="1319" w:right="1057" w:hanging="1080"/>
        <w:jc w:val="left"/>
      </w:pPr>
      <w:bookmarkStart w:name="_TOC_250033" w:id="66"/>
      <w:bookmarkEnd w:id="66"/>
      <w:r>
        <w:rPr/>
        <w:t>ALTERNATIVAS DE ACCIONES PARA EL URE EN EL SECTOR TRANSPORTE</w:t>
      </w:r>
    </w:p>
    <w:p>
      <w:pPr>
        <w:pStyle w:val="BodyText"/>
        <w:spacing w:before="10"/>
        <w:rPr>
          <w:rFonts w:ascii="Verdana"/>
          <w:b/>
          <w:sz w:val="22"/>
        </w:rPr>
      </w:pPr>
    </w:p>
    <w:p>
      <w:pPr>
        <w:pStyle w:val="BodyText"/>
        <w:ind w:left="239" w:right="1060"/>
      </w:pPr>
      <w:r>
        <w:rPr/>
        <w:t>Por su impacto en el consumo de combustibles, el sector transporte amerita un análisis específico. Con anterioridad se identificaron los siguientes programas:</w:t>
      </w:r>
    </w:p>
    <w:p>
      <w:pPr>
        <w:pStyle w:val="BodyText"/>
        <w:spacing w:before="1"/>
      </w:pPr>
    </w:p>
    <w:p>
      <w:pPr>
        <w:pStyle w:val="ListParagraph"/>
        <w:numPr>
          <w:ilvl w:val="0"/>
          <w:numId w:val="55"/>
        </w:numPr>
        <w:tabs>
          <w:tab w:pos="599" w:val="left" w:leader="none"/>
          <w:tab w:pos="600" w:val="left" w:leader="none"/>
        </w:tabs>
        <w:spacing w:line="240" w:lineRule="auto" w:before="0" w:after="0"/>
        <w:ind w:left="600" w:right="0" w:hanging="361"/>
        <w:jc w:val="left"/>
        <w:rPr>
          <w:sz w:val="23"/>
        </w:rPr>
      </w:pPr>
      <w:r>
        <w:rPr>
          <w:sz w:val="23"/>
        </w:rPr>
        <w:t>Mejora en el rendimiento de combustibles de vehículos</w:t>
      </w:r>
      <w:r>
        <w:rPr>
          <w:spacing w:val="-5"/>
          <w:sz w:val="23"/>
        </w:rPr>
        <w:t> </w:t>
      </w:r>
      <w:r>
        <w:rPr>
          <w:sz w:val="23"/>
        </w:rPr>
        <w:t>particulares</w:t>
      </w:r>
    </w:p>
    <w:p>
      <w:pPr>
        <w:pStyle w:val="ListParagraph"/>
        <w:numPr>
          <w:ilvl w:val="0"/>
          <w:numId w:val="55"/>
        </w:numPr>
        <w:tabs>
          <w:tab w:pos="599" w:val="left" w:leader="none"/>
          <w:tab w:pos="600" w:val="left" w:leader="none"/>
        </w:tabs>
        <w:spacing w:line="240" w:lineRule="auto" w:before="117" w:after="0"/>
        <w:ind w:left="599" w:right="0" w:hanging="361"/>
        <w:jc w:val="left"/>
        <w:rPr>
          <w:sz w:val="23"/>
        </w:rPr>
      </w:pPr>
      <w:r>
        <w:rPr>
          <w:sz w:val="23"/>
        </w:rPr>
        <w:t>Mejora en el rendimiento de combustibles de</w:t>
      </w:r>
      <w:r>
        <w:rPr>
          <w:spacing w:val="-2"/>
          <w:sz w:val="23"/>
        </w:rPr>
        <w:t> </w:t>
      </w:r>
      <w:r>
        <w:rPr>
          <w:sz w:val="23"/>
        </w:rPr>
        <w:t>conchos</w:t>
      </w:r>
    </w:p>
    <w:p>
      <w:pPr>
        <w:pStyle w:val="ListParagraph"/>
        <w:numPr>
          <w:ilvl w:val="0"/>
          <w:numId w:val="55"/>
        </w:numPr>
        <w:tabs>
          <w:tab w:pos="599" w:val="left" w:leader="none"/>
          <w:tab w:pos="600" w:val="left" w:leader="none"/>
        </w:tabs>
        <w:spacing w:line="240" w:lineRule="auto" w:before="116" w:after="0"/>
        <w:ind w:left="599" w:right="0" w:hanging="361"/>
        <w:jc w:val="left"/>
        <w:rPr>
          <w:sz w:val="23"/>
        </w:rPr>
      </w:pPr>
      <w:r>
        <w:rPr>
          <w:sz w:val="23"/>
        </w:rPr>
        <w:t>Introducción de vehículos</w:t>
      </w:r>
      <w:r>
        <w:rPr>
          <w:spacing w:val="1"/>
          <w:sz w:val="23"/>
        </w:rPr>
        <w:t> </w:t>
      </w:r>
      <w:r>
        <w:rPr>
          <w:sz w:val="23"/>
        </w:rPr>
        <w:t>híbridos</w:t>
      </w:r>
    </w:p>
    <w:p>
      <w:pPr>
        <w:pStyle w:val="ListParagraph"/>
        <w:numPr>
          <w:ilvl w:val="0"/>
          <w:numId w:val="55"/>
        </w:numPr>
        <w:tabs>
          <w:tab w:pos="599" w:val="left" w:leader="none"/>
          <w:tab w:pos="600" w:val="left" w:leader="none"/>
        </w:tabs>
        <w:spacing w:line="240" w:lineRule="auto" w:before="117" w:after="0"/>
        <w:ind w:left="599" w:right="0" w:hanging="361"/>
        <w:jc w:val="left"/>
        <w:rPr>
          <w:sz w:val="23"/>
        </w:rPr>
      </w:pPr>
      <w:r>
        <w:rPr>
          <w:sz w:val="23"/>
        </w:rPr>
        <w:t>Promoción de vehículos de bajo</w:t>
      </w:r>
      <w:r>
        <w:rPr>
          <w:spacing w:val="-2"/>
          <w:sz w:val="23"/>
        </w:rPr>
        <w:t> </w:t>
      </w:r>
      <w:r>
        <w:rPr>
          <w:sz w:val="23"/>
        </w:rPr>
        <w:t>cilindraje.</w:t>
      </w:r>
    </w:p>
    <w:p>
      <w:pPr>
        <w:pStyle w:val="ListParagraph"/>
        <w:numPr>
          <w:ilvl w:val="0"/>
          <w:numId w:val="55"/>
        </w:numPr>
        <w:tabs>
          <w:tab w:pos="599" w:val="left" w:leader="none"/>
          <w:tab w:pos="600" w:val="left" w:leader="none"/>
        </w:tabs>
        <w:spacing w:line="240" w:lineRule="auto" w:before="119" w:after="0"/>
        <w:ind w:left="599" w:right="0" w:hanging="361"/>
        <w:jc w:val="left"/>
        <w:rPr>
          <w:sz w:val="23"/>
        </w:rPr>
      </w:pPr>
      <w:r>
        <w:rPr>
          <w:sz w:val="23"/>
        </w:rPr>
        <w:t>Mejora y ampliación de la capacidad de transporte</w:t>
      </w:r>
      <w:r>
        <w:rPr>
          <w:spacing w:val="-2"/>
          <w:sz w:val="23"/>
        </w:rPr>
        <w:t> </w:t>
      </w:r>
      <w:r>
        <w:rPr>
          <w:sz w:val="23"/>
        </w:rPr>
        <w:t>público</w:t>
      </w:r>
    </w:p>
    <w:p>
      <w:pPr>
        <w:pStyle w:val="ListParagraph"/>
        <w:numPr>
          <w:ilvl w:val="0"/>
          <w:numId w:val="55"/>
        </w:numPr>
        <w:tabs>
          <w:tab w:pos="599" w:val="left" w:leader="none"/>
          <w:tab w:pos="600" w:val="left" w:leader="none"/>
        </w:tabs>
        <w:spacing w:line="240" w:lineRule="auto" w:before="116" w:after="0"/>
        <w:ind w:left="599" w:right="0" w:hanging="361"/>
        <w:jc w:val="left"/>
        <w:rPr>
          <w:sz w:val="23"/>
        </w:rPr>
      </w:pPr>
      <w:r>
        <w:rPr>
          <w:sz w:val="23"/>
        </w:rPr>
        <w:t>Sustitución de movilidad en automóvil privado por</w:t>
      </w:r>
      <w:r>
        <w:rPr>
          <w:spacing w:val="-4"/>
          <w:sz w:val="23"/>
        </w:rPr>
        <w:t> </w:t>
      </w:r>
      <w:r>
        <w:rPr>
          <w:sz w:val="23"/>
        </w:rPr>
        <w:t>autobús.</w:t>
      </w:r>
    </w:p>
    <w:p>
      <w:pPr>
        <w:pStyle w:val="ListParagraph"/>
        <w:numPr>
          <w:ilvl w:val="0"/>
          <w:numId w:val="55"/>
        </w:numPr>
        <w:tabs>
          <w:tab w:pos="599" w:val="left" w:leader="none"/>
          <w:tab w:pos="600" w:val="left" w:leader="none"/>
        </w:tabs>
        <w:spacing w:line="240" w:lineRule="auto" w:before="117" w:after="0"/>
        <w:ind w:left="599" w:right="0" w:hanging="361"/>
        <w:jc w:val="left"/>
        <w:rPr>
          <w:sz w:val="23"/>
        </w:rPr>
      </w:pPr>
      <w:r>
        <w:rPr>
          <w:sz w:val="23"/>
        </w:rPr>
        <w:t>Sustitución de conchos por autobús.</w:t>
      </w:r>
    </w:p>
    <w:p>
      <w:pPr>
        <w:pStyle w:val="BodyText"/>
        <w:spacing w:before="115"/>
        <w:ind w:left="239"/>
      </w:pPr>
      <w:r>
        <w:rPr/>
        <w:t>Para la aplicación de estas medidas, se requieren acciones específicas.</w:t>
      </w:r>
    </w:p>
    <w:p>
      <w:pPr>
        <w:pStyle w:val="BodyText"/>
        <w:spacing w:before="6"/>
      </w:pPr>
    </w:p>
    <w:p>
      <w:pPr>
        <w:pStyle w:val="Heading3"/>
        <w:rPr>
          <w:i/>
        </w:rPr>
      </w:pPr>
      <w:bookmarkStart w:name="_TOC_250032" w:id="67"/>
      <w:bookmarkEnd w:id="67"/>
      <w:r>
        <w:rPr>
          <w:i/>
          <w:w w:val="110"/>
        </w:rPr>
        <w:t>Instrumentos económicos para el fomento</w:t>
      </w:r>
    </w:p>
    <w:p>
      <w:pPr>
        <w:pStyle w:val="BodyText"/>
        <w:spacing w:before="2"/>
        <w:rPr>
          <w:rFonts w:ascii="Times New Roman"/>
          <w:b/>
          <w:i/>
          <w:sz w:val="24"/>
        </w:rPr>
      </w:pPr>
    </w:p>
    <w:p>
      <w:pPr>
        <w:pStyle w:val="BodyText"/>
        <w:ind w:left="239" w:right="1053"/>
        <w:jc w:val="both"/>
      </w:pPr>
      <w:r>
        <w:rPr/>
        <w:t>Los instrumentos económicos sirven para reconocer, más allá de lo que marca el mercado, los altos costos sociales y ambientales asociados al uso de vehículos de combustión interna y permiten remover algunos de los obstáculos a los que se enfrentan los consumidores y  los fabricantes para mejorar la eficiencia</w:t>
      </w:r>
      <w:r>
        <w:rPr>
          <w:spacing w:val="-4"/>
        </w:rPr>
        <w:t> </w:t>
      </w:r>
      <w:r>
        <w:rPr/>
        <w:t>energética.</w:t>
      </w:r>
    </w:p>
    <w:p>
      <w:pPr>
        <w:pStyle w:val="BodyText"/>
      </w:pPr>
    </w:p>
    <w:p>
      <w:pPr>
        <w:pStyle w:val="ListParagraph"/>
        <w:numPr>
          <w:ilvl w:val="0"/>
          <w:numId w:val="55"/>
        </w:numPr>
        <w:tabs>
          <w:tab w:pos="600" w:val="left" w:leader="none"/>
        </w:tabs>
        <w:spacing w:line="240" w:lineRule="auto" w:before="0" w:after="0"/>
        <w:ind w:left="599" w:right="1055" w:hanging="360"/>
        <w:jc w:val="both"/>
        <w:rPr>
          <w:sz w:val="23"/>
        </w:rPr>
      </w:pPr>
      <w:r>
        <w:rPr>
          <w:b/>
          <w:sz w:val="23"/>
        </w:rPr>
        <w:t>Precios de los combustibles o cargos por uso</w:t>
      </w:r>
      <w:r>
        <w:rPr>
          <w:sz w:val="23"/>
        </w:rPr>
        <w:t>. Los precios deben servir como instrumentos de política energética. Mantener precios económicos de los combustibles o cobrar el uso de infraestructura por distancia recorrida, que puede ser a través de impuestos</w:t>
      </w:r>
      <w:r>
        <w:rPr>
          <w:spacing w:val="18"/>
          <w:sz w:val="23"/>
        </w:rPr>
        <w:t> </w:t>
      </w:r>
      <w:r>
        <w:rPr>
          <w:sz w:val="23"/>
        </w:rPr>
        <w:t>específicos</w:t>
      </w:r>
      <w:r>
        <w:rPr>
          <w:spacing w:val="20"/>
          <w:sz w:val="23"/>
        </w:rPr>
        <w:t> </w:t>
      </w:r>
      <w:r>
        <w:rPr>
          <w:sz w:val="23"/>
        </w:rPr>
        <w:t>o</w:t>
      </w:r>
      <w:r>
        <w:rPr>
          <w:spacing w:val="17"/>
          <w:sz w:val="23"/>
        </w:rPr>
        <w:t> </w:t>
      </w:r>
      <w:r>
        <w:rPr>
          <w:sz w:val="23"/>
        </w:rPr>
        <w:t>de</w:t>
      </w:r>
      <w:r>
        <w:rPr>
          <w:spacing w:val="21"/>
          <w:sz w:val="23"/>
        </w:rPr>
        <w:t> </w:t>
      </w:r>
      <w:r>
        <w:rPr>
          <w:sz w:val="23"/>
        </w:rPr>
        <w:t>cargos</w:t>
      </w:r>
      <w:r>
        <w:rPr>
          <w:spacing w:val="21"/>
          <w:sz w:val="23"/>
        </w:rPr>
        <w:t> </w:t>
      </w:r>
      <w:r>
        <w:rPr>
          <w:sz w:val="23"/>
        </w:rPr>
        <w:t>en</w:t>
      </w:r>
      <w:r>
        <w:rPr>
          <w:spacing w:val="21"/>
          <w:sz w:val="23"/>
        </w:rPr>
        <w:t> </w:t>
      </w:r>
      <w:r>
        <w:rPr>
          <w:sz w:val="23"/>
        </w:rPr>
        <w:t>las</w:t>
      </w:r>
      <w:r>
        <w:rPr>
          <w:spacing w:val="20"/>
          <w:sz w:val="23"/>
        </w:rPr>
        <w:t> </w:t>
      </w:r>
      <w:r>
        <w:rPr>
          <w:sz w:val="23"/>
        </w:rPr>
        <w:t>carreteras,</w:t>
      </w:r>
      <w:r>
        <w:rPr>
          <w:spacing w:val="20"/>
          <w:sz w:val="23"/>
        </w:rPr>
        <w:t> </w:t>
      </w:r>
      <w:r>
        <w:rPr>
          <w:sz w:val="23"/>
        </w:rPr>
        <w:t>se</w:t>
      </w:r>
      <w:r>
        <w:rPr>
          <w:spacing w:val="21"/>
          <w:sz w:val="23"/>
        </w:rPr>
        <w:t> </w:t>
      </w:r>
      <w:r>
        <w:rPr>
          <w:sz w:val="23"/>
        </w:rPr>
        <w:t>puede</w:t>
      </w:r>
      <w:r>
        <w:rPr>
          <w:spacing w:val="19"/>
          <w:sz w:val="23"/>
        </w:rPr>
        <w:t> </w:t>
      </w:r>
      <w:r>
        <w:rPr>
          <w:sz w:val="23"/>
        </w:rPr>
        <w:t>reducir</w:t>
      </w:r>
      <w:r>
        <w:rPr>
          <w:spacing w:val="18"/>
          <w:sz w:val="23"/>
        </w:rPr>
        <w:t> </w:t>
      </w:r>
      <w:r>
        <w:rPr>
          <w:sz w:val="23"/>
        </w:rPr>
        <w:t>directamente</w:t>
      </w:r>
      <w:r>
        <w:rPr>
          <w:spacing w:val="21"/>
          <w:sz w:val="23"/>
        </w:rPr>
        <w:t> </w:t>
      </w:r>
      <w:r>
        <w:rPr>
          <w:sz w:val="23"/>
        </w:rPr>
        <w:t>su</w:t>
      </w:r>
    </w:p>
    <w:p>
      <w:pPr>
        <w:spacing w:after="0" w:line="240" w:lineRule="auto"/>
        <w:jc w:val="both"/>
        <w:rPr>
          <w:sz w:val="23"/>
        </w:rPr>
        <w:sectPr>
          <w:headerReference w:type="default" r:id="rId60"/>
          <w:footerReference w:type="default" r:id="rId61"/>
          <w:pgSz w:w="12240" w:h="15840"/>
          <w:pgMar w:header="718" w:footer="954" w:top="1360" w:bottom="1140" w:left="1200" w:right="380"/>
          <w:pgNumType w:start="76"/>
        </w:sectPr>
      </w:pPr>
    </w:p>
    <w:p>
      <w:pPr>
        <w:pStyle w:val="BodyText"/>
        <w:spacing w:before="4"/>
        <w:rPr>
          <w:sz w:val="11"/>
        </w:rPr>
      </w:pPr>
    </w:p>
    <w:p>
      <w:pPr>
        <w:pStyle w:val="BodyText"/>
        <w:spacing w:before="101"/>
        <w:ind w:left="599" w:right="1055"/>
        <w:jc w:val="both"/>
      </w:pPr>
      <w:r>
        <w:rPr/>
        <w:t>consumo o porque dan una señal económica positiva para la adquisición de vehículos más eficientes, además de recaudar recursos que paguen por los costos en los que incurre la sociedad en función de los volúmenes de uso y consumo de energía de los vehículos.</w:t>
      </w:r>
    </w:p>
    <w:p>
      <w:pPr>
        <w:pStyle w:val="ListParagraph"/>
        <w:numPr>
          <w:ilvl w:val="0"/>
          <w:numId w:val="55"/>
        </w:numPr>
        <w:tabs>
          <w:tab w:pos="600" w:val="left" w:leader="none"/>
        </w:tabs>
        <w:spacing w:line="235" w:lineRule="auto" w:before="6" w:after="0"/>
        <w:ind w:left="599" w:right="1056" w:hanging="360"/>
        <w:jc w:val="both"/>
        <w:rPr>
          <w:sz w:val="23"/>
        </w:rPr>
      </w:pPr>
      <w:r>
        <w:rPr>
          <w:b/>
          <w:sz w:val="23"/>
        </w:rPr>
        <w:t>Impuestos a la propiedad de vehículos</w:t>
      </w:r>
      <w:r>
        <w:rPr>
          <w:sz w:val="23"/>
        </w:rPr>
        <w:t>. Estos instrumentos reconocen las diferencias en la eficiencia de los vehículos y castigan a los de menor</w:t>
      </w:r>
      <w:r>
        <w:rPr>
          <w:spacing w:val="-20"/>
          <w:sz w:val="23"/>
        </w:rPr>
        <w:t> </w:t>
      </w:r>
      <w:r>
        <w:rPr>
          <w:sz w:val="23"/>
        </w:rPr>
        <w:t>rendimiento.</w:t>
      </w:r>
    </w:p>
    <w:p>
      <w:pPr>
        <w:pStyle w:val="BodyText"/>
        <w:spacing w:before="10"/>
      </w:pPr>
    </w:p>
    <w:p>
      <w:pPr>
        <w:pStyle w:val="Heading3"/>
        <w:spacing w:before="1"/>
        <w:rPr>
          <w:i/>
        </w:rPr>
      </w:pPr>
      <w:bookmarkStart w:name="_TOC_250031" w:id="68"/>
      <w:bookmarkEnd w:id="68"/>
      <w:r>
        <w:rPr>
          <w:i/>
          <w:w w:val="110"/>
        </w:rPr>
        <w:t>Instrumentos regulatorios</w:t>
      </w:r>
    </w:p>
    <w:p>
      <w:pPr>
        <w:pStyle w:val="BodyText"/>
        <w:spacing w:before="10"/>
        <w:rPr>
          <w:rFonts w:ascii="Times New Roman"/>
          <w:b/>
          <w:i/>
        </w:rPr>
      </w:pPr>
    </w:p>
    <w:p>
      <w:pPr>
        <w:pStyle w:val="BodyText"/>
        <w:ind w:left="239" w:right="1055"/>
        <w:jc w:val="both"/>
      </w:pPr>
      <w:r>
        <w:rPr/>
        <w:t>Los instrumentos regulatorios definen obligaciones de diversos actores económicos y sociales que, de no cumplirse, tienen castigos como multas o suspensión obligatoria de actividades. Estos instrumentos parten, generalmente, de leyes que tienen, a su vez, reglas en las que se basa la autoridad para monitorearlas, supervisarlas y hacerlas cumplir.</w:t>
      </w:r>
    </w:p>
    <w:p>
      <w:pPr>
        <w:pStyle w:val="BodyText"/>
        <w:spacing w:before="5"/>
      </w:pPr>
    </w:p>
    <w:p>
      <w:pPr>
        <w:pStyle w:val="ListParagraph"/>
        <w:numPr>
          <w:ilvl w:val="0"/>
          <w:numId w:val="55"/>
        </w:numPr>
        <w:tabs>
          <w:tab w:pos="600" w:val="left" w:leader="none"/>
        </w:tabs>
        <w:spacing w:line="237" w:lineRule="auto" w:before="0" w:after="0"/>
        <w:ind w:left="599" w:right="1055" w:hanging="360"/>
        <w:jc w:val="both"/>
        <w:rPr>
          <w:sz w:val="23"/>
        </w:rPr>
      </w:pPr>
      <w:r>
        <w:rPr>
          <w:b/>
          <w:sz w:val="23"/>
        </w:rPr>
        <w:t>Medidas tecnológicas aplicables a los vehículos. </w:t>
      </w:r>
      <w:r>
        <w:rPr>
          <w:sz w:val="23"/>
        </w:rPr>
        <w:t>Es necesaria la intervención del gobierno a través de regulaciones o instrumentos económicos para acelerar el cambio de los vehículos viejos por aquellos con tecnología más avanzada. Una medida de gran impacto es la prohibición de importar vehículos</w:t>
      </w:r>
      <w:r>
        <w:rPr>
          <w:spacing w:val="-5"/>
          <w:sz w:val="23"/>
        </w:rPr>
        <w:t> </w:t>
      </w:r>
      <w:r>
        <w:rPr>
          <w:sz w:val="23"/>
        </w:rPr>
        <w:t>usados.</w:t>
      </w:r>
    </w:p>
    <w:p>
      <w:pPr>
        <w:pStyle w:val="BodyText"/>
        <w:spacing w:before="9"/>
      </w:pPr>
    </w:p>
    <w:p>
      <w:pPr>
        <w:pStyle w:val="ListParagraph"/>
        <w:numPr>
          <w:ilvl w:val="0"/>
          <w:numId w:val="55"/>
        </w:numPr>
        <w:tabs>
          <w:tab w:pos="600" w:val="left" w:leader="none"/>
        </w:tabs>
        <w:spacing w:line="237" w:lineRule="auto" w:before="0" w:after="0"/>
        <w:ind w:left="599" w:right="1055" w:hanging="360"/>
        <w:jc w:val="both"/>
        <w:rPr>
          <w:sz w:val="23"/>
        </w:rPr>
      </w:pPr>
      <w:r>
        <w:rPr>
          <w:b/>
          <w:sz w:val="23"/>
        </w:rPr>
        <w:t>Normas y/o estándares de emisiones y de rendimiento de combustible</w:t>
      </w:r>
      <w:r>
        <w:rPr>
          <w:sz w:val="23"/>
        </w:rPr>
        <w:t>. Estos son instrumentos, generalmente de alcance nacional, que se establecen para cumplimiento de quienes fabrican los vehículos y se aplican independientemente del origen de los mismos. Los estándares determinan valores límite y especifican los métodos de prueba, los cuales son verificados y certificados por un conjunto de instituciones</w:t>
      </w:r>
      <w:r>
        <w:rPr>
          <w:spacing w:val="-1"/>
          <w:sz w:val="23"/>
        </w:rPr>
        <w:t> </w:t>
      </w:r>
      <w:r>
        <w:rPr>
          <w:i/>
          <w:sz w:val="24"/>
        </w:rPr>
        <w:t>ad-hoc</w:t>
      </w:r>
      <w:r>
        <w:rPr>
          <w:sz w:val="23"/>
        </w:rPr>
        <w:t>.</w:t>
      </w:r>
    </w:p>
    <w:p>
      <w:pPr>
        <w:pStyle w:val="BodyText"/>
        <w:spacing w:before="3"/>
      </w:pPr>
    </w:p>
    <w:p>
      <w:pPr>
        <w:pStyle w:val="ListParagraph"/>
        <w:numPr>
          <w:ilvl w:val="0"/>
          <w:numId w:val="55"/>
        </w:numPr>
        <w:tabs>
          <w:tab w:pos="600" w:val="left" w:leader="none"/>
        </w:tabs>
        <w:spacing w:line="235" w:lineRule="auto" w:before="0" w:after="0"/>
        <w:ind w:left="599" w:right="1055" w:hanging="360"/>
        <w:jc w:val="both"/>
        <w:rPr>
          <w:sz w:val="23"/>
        </w:rPr>
      </w:pPr>
      <w:r>
        <w:rPr>
          <w:b/>
          <w:sz w:val="23"/>
        </w:rPr>
        <w:t>Límites de velocidad</w:t>
      </w:r>
      <w:r>
        <w:rPr>
          <w:sz w:val="23"/>
        </w:rPr>
        <w:t>. Los límites de velocidad se determinan en función de varias consideraciones de interés público, que incluyen la seguridad y la eficiencia</w:t>
      </w:r>
      <w:r>
        <w:rPr>
          <w:spacing w:val="-26"/>
          <w:sz w:val="23"/>
        </w:rPr>
        <w:t> </w:t>
      </w:r>
      <w:r>
        <w:rPr>
          <w:sz w:val="23"/>
        </w:rPr>
        <w:t>energética.</w:t>
      </w:r>
    </w:p>
    <w:p>
      <w:pPr>
        <w:pStyle w:val="BodyText"/>
        <w:spacing w:before="3"/>
      </w:pPr>
    </w:p>
    <w:p>
      <w:pPr>
        <w:pStyle w:val="ListParagraph"/>
        <w:numPr>
          <w:ilvl w:val="0"/>
          <w:numId w:val="55"/>
        </w:numPr>
        <w:tabs>
          <w:tab w:pos="600" w:val="left" w:leader="none"/>
        </w:tabs>
        <w:spacing w:line="240" w:lineRule="auto" w:before="0" w:after="0"/>
        <w:ind w:left="599" w:right="1054" w:hanging="360"/>
        <w:jc w:val="both"/>
        <w:rPr>
          <w:sz w:val="23"/>
        </w:rPr>
      </w:pPr>
      <w:r>
        <w:rPr>
          <w:b/>
          <w:sz w:val="23"/>
        </w:rPr>
        <w:t>Planeación de uso de suelo y de infraestructura transporte</w:t>
      </w:r>
      <w:r>
        <w:rPr>
          <w:sz w:val="23"/>
        </w:rPr>
        <w:t>. Uno de los problemas más serios en las ciudades es la congestión, la cual tiene muchos impactos negativos, entre los que resaltan una menor eficiencia en la operación de los vehículos y una creciente contaminación. La planeación y regulación del uso del suelo y las decisiones sobre las inversiones en infraestructura para el movimiento de personas y mercancías (ampliación de vialidades, trenes metropolitanos, puentes, etc.) recaen principalmente en las autoridades propias de ciudades o de estados o provincias. Este tipo de instrumentos permiten que se racionalice la localización y el movimiento de personas y mercancías en zonas urbanas en crecimiento y con visión de largo plazo, pero requieren de gran solidez de las instituciones públicas</w:t>
      </w:r>
      <w:r>
        <w:rPr>
          <w:spacing w:val="-9"/>
          <w:sz w:val="23"/>
        </w:rPr>
        <w:t> </w:t>
      </w:r>
      <w:r>
        <w:rPr>
          <w:sz w:val="23"/>
        </w:rPr>
        <w:t>responsables.</w:t>
      </w:r>
    </w:p>
    <w:p>
      <w:pPr>
        <w:spacing w:after="0" w:line="240" w:lineRule="auto"/>
        <w:jc w:val="both"/>
        <w:rPr>
          <w:sz w:val="23"/>
        </w:rPr>
        <w:sectPr>
          <w:pgSz w:w="12240" w:h="15840"/>
          <w:pgMar w:header="718" w:footer="954" w:top="1360" w:bottom="1140" w:left="1200" w:right="380"/>
        </w:sectPr>
      </w:pPr>
    </w:p>
    <w:p>
      <w:pPr>
        <w:pStyle w:val="BodyText"/>
        <w:rPr>
          <w:sz w:val="20"/>
        </w:rPr>
      </w:pPr>
    </w:p>
    <w:p>
      <w:pPr>
        <w:pStyle w:val="BodyText"/>
        <w:rPr>
          <w:sz w:val="20"/>
        </w:rPr>
      </w:pPr>
    </w:p>
    <w:p>
      <w:pPr>
        <w:pStyle w:val="BodyText"/>
        <w:spacing w:before="9"/>
        <w:rPr>
          <w:sz w:val="17"/>
        </w:rPr>
      </w:pPr>
    </w:p>
    <w:p>
      <w:pPr>
        <w:pStyle w:val="Heading3"/>
        <w:spacing w:before="104"/>
        <w:rPr>
          <w:i/>
        </w:rPr>
      </w:pPr>
      <w:bookmarkStart w:name="_TOC_250030" w:id="69"/>
      <w:bookmarkEnd w:id="69"/>
      <w:r>
        <w:rPr>
          <w:i/>
          <w:w w:val="115"/>
        </w:rPr>
        <w:t>Otras medidas</w:t>
      </w:r>
    </w:p>
    <w:p>
      <w:pPr>
        <w:pStyle w:val="BodyText"/>
        <w:spacing w:before="11"/>
        <w:rPr>
          <w:rFonts w:ascii="Times New Roman"/>
          <w:b/>
          <w:i/>
        </w:rPr>
      </w:pPr>
    </w:p>
    <w:p>
      <w:pPr>
        <w:pStyle w:val="BodyText"/>
        <w:ind w:left="239" w:right="1060"/>
      </w:pPr>
      <w:r>
        <w:rPr/>
        <w:t>Existen otras medidas que son de carácter administrativo y que son decisiones que toman los gobiernos ya que pueden ser implantadas en períodos cortos.</w:t>
      </w:r>
    </w:p>
    <w:p>
      <w:pPr>
        <w:pStyle w:val="BodyText"/>
        <w:spacing w:before="5"/>
        <w:rPr>
          <w:sz w:val="32"/>
        </w:rPr>
      </w:pPr>
    </w:p>
    <w:p>
      <w:pPr>
        <w:pStyle w:val="ListParagraph"/>
        <w:numPr>
          <w:ilvl w:val="0"/>
          <w:numId w:val="55"/>
        </w:numPr>
        <w:tabs>
          <w:tab w:pos="600" w:val="left" w:leader="none"/>
        </w:tabs>
        <w:spacing w:line="237" w:lineRule="auto" w:before="0" w:after="0"/>
        <w:ind w:left="600" w:right="1055" w:hanging="360"/>
        <w:jc w:val="both"/>
        <w:rPr>
          <w:sz w:val="23"/>
        </w:rPr>
      </w:pPr>
      <w:r>
        <w:rPr>
          <w:b/>
          <w:sz w:val="23"/>
        </w:rPr>
        <w:t>Promoción del transporte público. </w:t>
      </w:r>
      <w:r>
        <w:rPr>
          <w:sz w:val="23"/>
        </w:rPr>
        <w:t>En esta línea de acción la autoridad puede llevar a cabo inversiones o promover acciones del sector privado para ampliar la capacidad de movimiento de personas en vehículos de transporte</w:t>
      </w:r>
      <w:r>
        <w:rPr>
          <w:spacing w:val="-2"/>
          <w:sz w:val="23"/>
        </w:rPr>
        <w:t> </w:t>
      </w:r>
      <w:r>
        <w:rPr>
          <w:sz w:val="23"/>
        </w:rPr>
        <w:t>público.</w:t>
      </w:r>
    </w:p>
    <w:p>
      <w:pPr>
        <w:pStyle w:val="BodyText"/>
        <w:spacing w:before="2"/>
      </w:pPr>
    </w:p>
    <w:p>
      <w:pPr>
        <w:pStyle w:val="ListParagraph"/>
        <w:numPr>
          <w:ilvl w:val="0"/>
          <w:numId w:val="55"/>
        </w:numPr>
        <w:tabs>
          <w:tab w:pos="600" w:val="left" w:leader="none"/>
        </w:tabs>
        <w:spacing w:line="240" w:lineRule="auto" w:before="1" w:after="0"/>
        <w:ind w:left="600" w:right="1054" w:hanging="360"/>
        <w:jc w:val="both"/>
        <w:rPr>
          <w:sz w:val="23"/>
        </w:rPr>
      </w:pPr>
      <w:r>
        <w:rPr>
          <w:b/>
          <w:sz w:val="23"/>
        </w:rPr>
        <w:t>Control de tráfico en zonas urbanas. </w:t>
      </w:r>
      <w:r>
        <w:rPr>
          <w:sz w:val="23"/>
        </w:rPr>
        <w:t>Estas son medidas que pueden ser operada por medio de sistemas de poca o mucha sofisticación tecnológica como puede ser la mejora en los sistemas de semáforos, la prohibición (y cumplimiento de esta medida) del estacionamiento de vehículos en vía</w:t>
      </w:r>
      <w:r>
        <w:rPr>
          <w:spacing w:val="-10"/>
          <w:sz w:val="23"/>
        </w:rPr>
        <w:t> </w:t>
      </w:r>
      <w:r>
        <w:rPr>
          <w:sz w:val="23"/>
        </w:rPr>
        <w:t>pública.</w:t>
      </w:r>
    </w:p>
    <w:p>
      <w:pPr>
        <w:pStyle w:val="BodyText"/>
        <w:spacing w:before="9"/>
        <w:rPr>
          <w:sz w:val="22"/>
        </w:rPr>
      </w:pPr>
    </w:p>
    <w:p>
      <w:pPr>
        <w:pStyle w:val="ListParagraph"/>
        <w:numPr>
          <w:ilvl w:val="0"/>
          <w:numId w:val="55"/>
        </w:numPr>
        <w:tabs>
          <w:tab w:pos="600" w:val="left" w:leader="none"/>
        </w:tabs>
        <w:spacing w:line="240" w:lineRule="auto" w:before="0" w:after="0"/>
        <w:ind w:left="600" w:right="1054" w:hanging="360"/>
        <w:jc w:val="both"/>
        <w:rPr>
          <w:sz w:val="23"/>
        </w:rPr>
      </w:pPr>
      <w:r>
        <w:rPr>
          <w:b/>
          <w:sz w:val="23"/>
        </w:rPr>
        <w:t>Campañas de concientización</w:t>
      </w:r>
      <w:r>
        <w:rPr>
          <w:sz w:val="23"/>
        </w:rPr>
        <w:t>. Este tipo de medidas son generalmente de gran alcance y buscan crear conciencia sobre la importancia social del ahorro de energía, sobre la lógica económica de llevar adelante acciones individuales y/o institucionales  con ese propósito y para involucrar a la sociedad en general en acciones de beneficio colectivo.</w:t>
      </w:r>
    </w:p>
    <w:p>
      <w:pPr>
        <w:pStyle w:val="BodyText"/>
        <w:spacing w:before="10"/>
        <w:rPr>
          <w:sz w:val="22"/>
        </w:rPr>
      </w:pPr>
    </w:p>
    <w:p>
      <w:pPr>
        <w:pStyle w:val="ListParagraph"/>
        <w:numPr>
          <w:ilvl w:val="0"/>
          <w:numId w:val="55"/>
        </w:numPr>
        <w:tabs>
          <w:tab w:pos="600" w:val="left" w:leader="none"/>
        </w:tabs>
        <w:spacing w:line="240" w:lineRule="auto" w:before="0" w:after="0"/>
        <w:ind w:left="643" w:right="1054" w:hanging="404"/>
        <w:jc w:val="both"/>
        <w:rPr>
          <w:sz w:val="23"/>
        </w:rPr>
      </w:pPr>
      <w:r>
        <w:rPr>
          <w:b/>
          <w:sz w:val="23"/>
        </w:rPr>
        <w:t>Programas de información y capacitación</w:t>
      </w:r>
      <w:r>
        <w:rPr>
          <w:sz w:val="23"/>
        </w:rPr>
        <w:t>. Una práctica generalizada, de bajo costo relativo, y de buenos resultados para lograr ahorros de energía en conjuntos grandes de vehículos bajo una misma administración (flotillas vehiculares) son los programas de información y capacitación dirigidos a operadores de vehículos y de flotillas</w:t>
      </w:r>
      <w:r>
        <w:rPr>
          <w:spacing w:val="-1"/>
          <w:sz w:val="23"/>
        </w:rPr>
        <w:t> </w:t>
      </w:r>
      <w:r>
        <w:rPr>
          <w:sz w:val="23"/>
        </w:rPr>
        <w:t>vehiculares.</w:t>
      </w:r>
    </w:p>
    <w:p>
      <w:pPr>
        <w:spacing w:after="0" w:line="240" w:lineRule="auto"/>
        <w:jc w:val="both"/>
        <w:rPr>
          <w:sz w:val="23"/>
        </w:rPr>
        <w:sectPr>
          <w:pgSz w:w="12240" w:h="15840"/>
          <w:pgMar w:header="718" w:footer="954" w:top="1360" w:bottom="1140" w:left="1200" w:right="380"/>
        </w:sectPr>
      </w:pPr>
    </w:p>
    <w:p>
      <w:pPr>
        <w:pStyle w:val="BodyText"/>
        <w:spacing w:before="7"/>
        <w:rPr>
          <w:sz w:val="14"/>
        </w:rPr>
      </w:pPr>
    </w:p>
    <w:p>
      <w:pPr>
        <w:pStyle w:val="Heading1"/>
        <w:ind w:left="1986" w:right="2805"/>
        <w:rPr>
          <w:rFonts w:ascii="Arial" w:hAnsi="Arial"/>
        </w:rPr>
      </w:pPr>
      <w:r>
        <w:rPr>
          <w:rFonts w:ascii="Arial" w:hAnsi="Arial"/>
        </w:rPr>
        <w:t>CAPÍTULO 5</w:t>
      </w:r>
    </w:p>
    <w:p>
      <w:pPr>
        <w:pStyle w:val="BodyText"/>
        <w:rPr>
          <w:rFonts w:ascii="Arial"/>
          <w:b/>
          <w:sz w:val="28"/>
        </w:rPr>
      </w:pPr>
    </w:p>
    <w:p>
      <w:pPr>
        <w:pStyle w:val="BodyText"/>
        <w:spacing w:before="8"/>
        <w:rPr>
          <w:rFonts w:ascii="Arial"/>
          <w:b/>
          <w:sz w:val="24"/>
        </w:rPr>
      </w:pPr>
    </w:p>
    <w:p>
      <w:pPr>
        <w:pStyle w:val="Heading2"/>
        <w:ind w:left="2707" w:right="2805" w:firstLine="0"/>
        <w:jc w:val="center"/>
      </w:pPr>
      <w:bookmarkStart w:name="_TOC_250029" w:id="70"/>
      <w:bookmarkEnd w:id="70"/>
      <w:r>
        <w:rPr/>
        <w:t>PROTECCIÓN AL MEDIO AMBIENTE</w:t>
      </w:r>
    </w:p>
    <w:p>
      <w:pPr>
        <w:pStyle w:val="BodyText"/>
        <w:spacing w:before="9"/>
        <w:rPr>
          <w:rFonts w:ascii="Verdana"/>
          <w:b/>
          <w:sz w:val="45"/>
        </w:rPr>
      </w:pPr>
    </w:p>
    <w:p>
      <w:pPr>
        <w:pStyle w:val="Heading4"/>
        <w:numPr>
          <w:ilvl w:val="1"/>
          <w:numId w:val="58"/>
        </w:numPr>
        <w:tabs>
          <w:tab w:pos="943" w:val="left" w:leader="none"/>
          <w:tab w:pos="944" w:val="left" w:leader="none"/>
        </w:tabs>
        <w:spacing w:line="240" w:lineRule="auto" w:before="0" w:after="0"/>
        <w:ind w:left="943" w:right="0" w:hanging="705"/>
        <w:jc w:val="left"/>
      </w:pPr>
      <w:bookmarkStart w:name="_TOC_250028" w:id="71"/>
      <w:r>
        <w:rPr/>
        <w:t>INCORPORACIÓN DEL COMPONENTE AMBIENTAL EN EL</w:t>
      </w:r>
      <w:r>
        <w:rPr>
          <w:spacing w:val="-6"/>
        </w:rPr>
        <w:t> </w:t>
      </w:r>
      <w:bookmarkEnd w:id="71"/>
      <w:r>
        <w:rPr/>
        <w:t>PEN</w:t>
      </w:r>
    </w:p>
    <w:p>
      <w:pPr>
        <w:pStyle w:val="BodyText"/>
        <w:spacing w:before="9"/>
        <w:rPr>
          <w:rFonts w:ascii="Verdana"/>
          <w:b/>
          <w:sz w:val="22"/>
        </w:rPr>
      </w:pPr>
    </w:p>
    <w:p>
      <w:pPr>
        <w:pStyle w:val="BodyText"/>
        <w:ind w:left="239" w:right="1054"/>
        <w:jc w:val="both"/>
      </w:pPr>
      <w:r>
        <w:rPr/>
        <w:t>En la planificación energética confluyen además de la política energética, otras políticas, como la ambiental (o la de desarrollo económico y social o la política territorial), cuya naturaleza se determina por el modelo de desarrollo económico dominante. Lo anterior hace evidente que en los planes energéticos se articulen de manera armónica objetivos ambientales junto a otros objetivos de la planificación desde una perspectiva de desarrollo sostenible de acuerdo a las recomendaciones de las principales políticas y foros internacionales en la</w:t>
      </w:r>
      <w:r>
        <w:rPr>
          <w:spacing w:val="-1"/>
        </w:rPr>
        <w:t> </w:t>
      </w:r>
      <w:r>
        <w:rPr/>
        <w:t>materia.</w:t>
      </w:r>
    </w:p>
    <w:p>
      <w:pPr>
        <w:pStyle w:val="BodyText"/>
        <w:spacing w:before="1"/>
      </w:pPr>
    </w:p>
    <w:p>
      <w:pPr>
        <w:pStyle w:val="BodyText"/>
        <w:ind w:left="239" w:right="1054"/>
        <w:jc w:val="both"/>
      </w:pPr>
      <w:r>
        <w:rPr/>
        <w:t>Efectivamente no podría ser de otra manera pues la integración del medio ambiente en las políticas para la consecución de un desarrollo sostenible se ha convertido en uno de los pilares políticos de las estrategias de desarrollo sostenible. Las políticas internaciones de medio ambiente han ido dando pautas para conseguir este objetivo: es necesario mejorar los procesos de planificación mediante evaluación ambiental estratégica, análisis coste beneficio, etc.; es necesario establecer estándares mínimos para cumplir con la legislación ambiental vigente; es necesario establecer una serie de objetivos ambientales que permitan disminuir la demanda e intensidad de la energía, y fomentar el ahorro y la eficiencia energética. En definitiva, el establecimiento de objetivos ambientales debe permitir reducir los efectos ambientales de la planificación energética.</w:t>
      </w:r>
    </w:p>
    <w:p>
      <w:pPr>
        <w:pStyle w:val="BodyText"/>
        <w:spacing w:before="11"/>
        <w:rPr>
          <w:sz w:val="22"/>
        </w:rPr>
      </w:pPr>
    </w:p>
    <w:p>
      <w:pPr>
        <w:pStyle w:val="BodyText"/>
        <w:spacing w:before="1"/>
        <w:ind w:left="239" w:right="1054"/>
        <w:jc w:val="both"/>
      </w:pPr>
      <w:r>
        <w:rPr/>
        <w:t>Como punto de partida para definir una estrategia ambiental para el sector energético, se hace un resumen de los principales conceptos, redundando en aquellos aspectos que se consideran claves y concluyentes a la hora de incorporar los aspectos ambientales en la planificación del sector energético.</w:t>
      </w:r>
    </w:p>
    <w:p>
      <w:pPr>
        <w:pStyle w:val="BodyText"/>
        <w:spacing w:before="11"/>
        <w:rPr>
          <w:sz w:val="22"/>
        </w:rPr>
      </w:pPr>
    </w:p>
    <w:p>
      <w:pPr>
        <w:pStyle w:val="BodyText"/>
        <w:ind w:left="239" w:right="1056"/>
        <w:jc w:val="both"/>
      </w:pPr>
      <w:r>
        <w:rPr/>
        <w:t>En primer lugar, es preciso avanzar en el análisis y consideración de los factores ambientales con incidencia sobre el sector y los problemas derivados de este de cara a evitar o paliar los posibles nuevos problemas derivados del desarrollo de los contenidos de la actualización del plan energético</w:t>
      </w:r>
      <w:r>
        <w:rPr>
          <w:spacing w:val="-2"/>
        </w:rPr>
        <w:t> </w:t>
      </w:r>
      <w:r>
        <w:rPr/>
        <w:t>nacional.</w:t>
      </w:r>
    </w:p>
    <w:p>
      <w:pPr>
        <w:pStyle w:val="BodyText"/>
        <w:spacing w:before="1"/>
      </w:pPr>
    </w:p>
    <w:p>
      <w:pPr>
        <w:pStyle w:val="BodyText"/>
        <w:ind w:left="239" w:right="1055"/>
        <w:jc w:val="both"/>
      </w:pPr>
      <w:r>
        <w:rPr/>
        <w:t>En este sentido, conviene recordar que para el desarrollo y puesta en marcha de cualquier plan a nivel nacional, y especialmente para un Plan Energético, han de ser tenidas en cuenta las características ambientales propias del país, tanto por su condición de  insularidad como por su encuadre climático</w:t>
      </w:r>
      <w:r>
        <w:rPr>
          <w:spacing w:val="-3"/>
        </w:rPr>
        <w:t> </w:t>
      </w:r>
      <w:r>
        <w:rPr/>
        <w:t>regional.</w:t>
      </w:r>
    </w:p>
    <w:p>
      <w:pPr>
        <w:spacing w:after="0"/>
        <w:jc w:val="both"/>
        <w:sectPr>
          <w:pgSz w:w="12240" w:h="15840"/>
          <w:pgMar w:header="718" w:footer="954" w:top="1360" w:bottom="1140" w:left="1200" w:right="380"/>
        </w:sectPr>
      </w:pPr>
    </w:p>
    <w:p>
      <w:pPr>
        <w:pStyle w:val="BodyText"/>
        <w:spacing w:before="8"/>
        <w:rPr>
          <w:sz w:val="11"/>
        </w:rPr>
      </w:pPr>
    </w:p>
    <w:p>
      <w:pPr>
        <w:pStyle w:val="Heading3"/>
        <w:spacing w:before="103"/>
        <w:ind w:left="947"/>
        <w:rPr>
          <w:i/>
        </w:rPr>
      </w:pPr>
      <w:bookmarkStart w:name="_TOC_250027" w:id="72"/>
      <w:bookmarkEnd w:id="72"/>
      <w:r>
        <w:rPr>
          <w:i/>
          <w:w w:val="110"/>
        </w:rPr>
        <w:t>Insularidad</w:t>
      </w:r>
    </w:p>
    <w:p>
      <w:pPr>
        <w:pStyle w:val="BodyText"/>
        <w:spacing w:before="2"/>
        <w:rPr>
          <w:rFonts w:ascii="Times New Roman"/>
          <w:b/>
          <w:i/>
          <w:sz w:val="25"/>
        </w:rPr>
      </w:pPr>
    </w:p>
    <w:p>
      <w:pPr>
        <w:pStyle w:val="BodyText"/>
        <w:spacing w:before="1"/>
        <w:ind w:left="240" w:right="1054"/>
        <w:jc w:val="both"/>
      </w:pPr>
      <w:r>
        <w:rPr/>
        <w:t>La condición de insularidad se presenta como la principal responsable de la existencia de una fuerte variabilidad entre distintos ambientes y escenarios ecológicos, que van desde la existencia de zonas secas en el suroeste del país, a zonas de bosques húmedos tropicales o sistemas montañosos con cumbres que superan los 3,000 m de altitud.</w:t>
      </w:r>
    </w:p>
    <w:p>
      <w:pPr>
        <w:pStyle w:val="BodyText"/>
        <w:spacing w:before="1"/>
      </w:pPr>
    </w:p>
    <w:p>
      <w:pPr>
        <w:pStyle w:val="BodyText"/>
        <w:ind w:left="240" w:right="1054"/>
        <w:jc w:val="both"/>
      </w:pPr>
      <w:r>
        <w:rPr/>
        <w:t>La condición de insularidad lleva a la necesidad de realizar estudios encaminados a la elaboración de una cartografía de riesgos ambientales (geológicos, hidrológicos, áreas de exclusión eólica) de cara a minimizar los impactos ambientales negativos por mala ubicación de los proyectos de generación energética.</w:t>
      </w:r>
    </w:p>
    <w:p>
      <w:pPr>
        <w:pStyle w:val="BodyText"/>
        <w:spacing w:before="6"/>
        <w:rPr>
          <w:sz w:val="24"/>
        </w:rPr>
      </w:pPr>
    </w:p>
    <w:p>
      <w:pPr>
        <w:pStyle w:val="Heading3"/>
        <w:ind w:left="948"/>
        <w:rPr>
          <w:i/>
        </w:rPr>
      </w:pPr>
      <w:bookmarkStart w:name="_TOC_250026" w:id="73"/>
      <w:r>
        <w:rPr>
          <w:i/>
          <w:w w:val="110"/>
        </w:rPr>
        <w:t>Vulnerabilidad a los riesgos</w:t>
      </w:r>
      <w:r>
        <w:rPr>
          <w:i/>
          <w:spacing w:val="-54"/>
          <w:w w:val="110"/>
        </w:rPr>
        <w:t> </w:t>
      </w:r>
      <w:bookmarkEnd w:id="73"/>
      <w:r>
        <w:rPr>
          <w:i/>
          <w:w w:val="110"/>
        </w:rPr>
        <w:t>naturales</w:t>
      </w:r>
    </w:p>
    <w:p>
      <w:pPr>
        <w:pStyle w:val="BodyText"/>
        <w:spacing w:before="2"/>
        <w:rPr>
          <w:rFonts w:ascii="Times New Roman"/>
          <w:b/>
          <w:i/>
          <w:sz w:val="25"/>
        </w:rPr>
      </w:pPr>
    </w:p>
    <w:p>
      <w:pPr>
        <w:pStyle w:val="BodyText"/>
        <w:ind w:left="240" w:right="1053"/>
        <w:jc w:val="both"/>
      </w:pPr>
      <w:r>
        <w:rPr/>
        <w:t>La República Dominicana, por su localización geográfica y sus condicionantes ambientales, está sometida a diversos tipos de riesgos naturales, y en concreto la propensión a la ocurrencia de huracanes y terremotos. La posición de la isla La Hispaniola en el borde de interacción entre la placa tectónica de Norteamérica y la placa tectónica del Caribe, provoca que todo el país y de forma específica la región septentrional, sea considerada como de alto riesgo sísmico.</w:t>
      </w:r>
    </w:p>
    <w:p>
      <w:pPr>
        <w:pStyle w:val="BodyText"/>
        <w:spacing w:before="9"/>
        <w:rPr>
          <w:sz w:val="20"/>
        </w:rPr>
      </w:pPr>
      <w:r>
        <w:rPr/>
        <w:pict>
          <v:shape style="position:absolute;margin-left:66.359993pt;margin-top:14.749036pt;width:479.3pt;height:42.4pt;mso-position-horizontal-relative:page;mso-position-vertical-relative:paragraph;z-index:-15669248;mso-wrap-distance-left:0;mso-wrap-distance-right:0" type="#_x0000_t202" filled="false" stroked="true" strokeweight=".480075pt" strokecolor="#000000">
            <v:textbox inset="0,0,0,0">
              <w:txbxContent>
                <w:p>
                  <w:pPr>
                    <w:spacing w:before="20"/>
                    <w:ind w:left="107" w:right="103" w:firstLine="0"/>
                    <w:jc w:val="both"/>
                    <w:rPr>
                      <w:sz w:val="22"/>
                    </w:rPr>
                  </w:pPr>
                  <w:r>
                    <w:rPr>
                      <w:sz w:val="22"/>
                    </w:rPr>
                    <w:t>La vulnerabilidad sísmica, la susceptibilidad a la erosión y a los deslizamientos, los huracanes y los riesgos inherentes han de ser tenidos en cuenta en los proyectos de generación y distribución de la energía (p.ej.: los proyectos de parques eólicos).</w:t>
                  </w:r>
                </w:p>
              </w:txbxContent>
            </v:textbox>
            <v:stroke dashstyle="solid"/>
            <w10:wrap type="topAndBottom"/>
          </v:shape>
        </w:pict>
      </w:r>
    </w:p>
    <w:p>
      <w:pPr>
        <w:pStyle w:val="BodyText"/>
        <w:spacing w:before="1"/>
        <w:rPr>
          <w:sz w:val="12"/>
        </w:rPr>
      </w:pPr>
    </w:p>
    <w:p>
      <w:pPr>
        <w:pStyle w:val="BodyText"/>
        <w:spacing w:before="101"/>
        <w:ind w:left="239" w:right="1056"/>
        <w:jc w:val="both"/>
      </w:pPr>
      <w:r>
        <w:rPr/>
        <w:t>La posible afección de intrusiones marinas en la costa debido a un maremoto debe ser tenida en cuenta en el diseño de proyectos energéticos próximos a la costa, en especial en los depósitos de combustible y residuos.</w:t>
      </w:r>
    </w:p>
    <w:p>
      <w:pPr>
        <w:pStyle w:val="BodyText"/>
        <w:spacing w:before="7"/>
        <w:rPr>
          <w:sz w:val="24"/>
        </w:rPr>
      </w:pPr>
    </w:p>
    <w:p>
      <w:pPr>
        <w:pStyle w:val="Heading3"/>
        <w:ind w:left="947"/>
        <w:rPr>
          <w:i/>
        </w:rPr>
      </w:pPr>
      <w:bookmarkStart w:name="_TOC_250025" w:id="74"/>
      <w:bookmarkEnd w:id="74"/>
      <w:r>
        <w:rPr>
          <w:i/>
          <w:w w:val="110"/>
        </w:rPr>
        <w:t>Vulnerabilidad del ecosistema</w:t>
      </w:r>
    </w:p>
    <w:p>
      <w:pPr>
        <w:pStyle w:val="BodyText"/>
        <w:rPr>
          <w:rFonts w:ascii="Times New Roman"/>
          <w:b/>
          <w:i/>
          <w:sz w:val="25"/>
        </w:rPr>
      </w:pPr>
    </w:p>
    <w:p>
      <w:pPr>
        <w:pStyle w:val="BodyText"/>
        <w:ind w:left="240" w:right="1055"/>
        <w:jc w:val="both"/>
      </w:pPr>
      <w:r>
        <w:rPr/>
        <w:t>La presión que ejerce sobre el medio ambiente cualquier actividad económica resulta de mucha más importancia en territorios como el dominicano, que cuentan con unos ecosistemas mucho más frágiles que los que poseen los territorios continentales.</w:t>
      </w:r>
    </w:p>
    <w:p>
      <w:pPr>
        <w:pStyle w:val="BodyText"/>
        <w:rPr>
          <w:sz w:val="21"/>
        </w:rPr>
      </w:pPr>
      <w:r>
        <w:rPr/>
        <w:pict>
          <v:shape style="position:absolute;margin-left:66.359985pt;margin-top:14.875768pt;width:479.3pt;height:122.05pt;mso-position-horizontal-relative:page;mso-position-vertical-relative:paragraph;z-index:-15668736;mso-wrap-distance-left:0;mso-wrap-distance-right:0" type="#_x0000_t202" filled="false" stroked="true" strokeweight=".480165pt" strokecolor="#000000">
            <v:textbox inset="0,0,0,0">
              <w:txbxContent>
                <w:p>
                  <w:pPr>
                    <w:spacing w:before="20"/>
                    <w:ind w:left="107" w:right="102" w:firstLine="0"/>
                    <w:jc w:val="both"/>
                    <w:rPr>
                      <w:sz w:val="22"/>
                    </w:rPr>
                  </w:pPr>
                  <w:r>
                    <w:rPr>
                      <w:sz w:val="22"/>
                    </w:rPr>
                    <w:t>Se ha de prestar especial atención a la correcta ubicación de las nuevas plantas de producción energética, evitándose aquellos lugares frágiles o vulnerables, y en especial sobre los ecosistemas costeros o cuerpos de agua, así como aquellas ubicadas en zonas bajas susceptibles a las inundaciones. Y especialmente si se trata de obras de ingeniería como presas, puentes, carreteras, canales de riego, terraplenes, taludes, edificaciones,</w:t>
                  </w:r>
                  <w:r>
                    <w:rPr>
                      <w:spacing w:val="-4"/>
                      <w:sz w:val="22"/>
                    </w:rPr>
                    <w:t> </w:t>
                  </w:r>
                  <w:r>
                    <w:rPr>
                      <w:sz w:val="22"/>
                    </w:rPr>
                    <w:t>etc.</w:t>
                  </w:r>
                </w:p>
                <w:p>
                  <w:pPr>
                    <w:pStyle w:val="BodyText"/>
                    <w:rPr>
                      <w:sz w:val="22"/>
                    </w:rPr>
                  </w:pPr>
                </w:p>
                <w:p>
                  <w:pPr>
                    <w:spacing w:line="240" w:lineRule="auto" w:before="0"/>
                    <w:ind w:left="107" w:right="102" w:firstLine="0"/>
                    <w:jc w:val="both"/>
                    <w:rPr>
                      <w:sz w:val="22"/>
                    </w:rPr>
                  </w:pPr>
                  <w:r>
                    <w:rPr>
                      <w:sz w:val="22"/>
                    </w:rPr>
                    <w:t>La ubicación de plantas generadoras de energía, así como el transporte y depósito de combustible y residuos debe cuidar evitar la afección a terrenos kársticos y la contaminación de aguas subterráneas.</w:t>
                  </w:r>
                </w:p>
              </w:txbxContent>
            </v:textbox>
            <v:stroke dashstyle="solid"/>
            <w10:wrap type="topAndBottom"/>
          </v:shape>
        </w:pict>
      </w:r>
    </w:p>
    <w:p>
      <w:pPr>
        <w:spacing w:after="0"/>
        <w:rPr>
          <w:sz w:val="21"/>
        </w:rPr>
        <w:sectPr>
          <w:pgSz w:w="12240" w:h="15840"/>
          <w:pgMar w:header="718" w:footer="954" w:top="1360" w:bottom="1140" w:left="1200" w:right="380"/>
        </w:sectPr>
      </w:pPr>
    </w:p>
    <w:p>
      <w:pPr>
        <w:pStyle w:val="BodyText"/>
        <w:spacing w:before="8"/>
        <w:rPr>
          <w:sz w:val="11"/>
        </w:rPr>
      </w:pPr>
    </w:p>
    <w:p>
      <w:pPr>
        <w:pStyle w:val="Heading3"/>
        <w:spacing w:before="103"/>
        <w:ind w:left="947"/>
        <w:rPr>
          <w:i/>
        </w:rPr>
      </w:pPr>
      <w:bookmarkStart w:name="_TOC_250024" w:id="75"/>
      <w:bookmarkEnd w:id="75"/>
      <w:r>
        <w:rPr>
          <w:i/>
          <w:w w:val="110"/>
        </w:rPr>
        <w:t>Gran riqueza natural del país</w:t>
      </w:r>
    </w:p>
    <w:p>
      <w:pPr>
        <w:pStyle w:val="BodyText"/>
        <w:spacing w:before="2"/>
        <w:rPr>
          <w:rFonts w:ascii="Times New Roman"/>
          <w:b/>
          <w:i/>
          <w:sz w:val="25"/>
        </w:rPr>
      </w:pPr>
    </w:p>
    <w:p>
      <w:pPr>
        <w:pStyle w:val="BodyText"/>
        <w:spacing w:before="1"/>
        <w:ind w:left="240" w:right="1053"/>
        <w:jc w:val="both"/>
      </w:pPr>
      <w:r>
        <w:rPr/>
        <w:t>El país es poseedor de una gran riqueza natural casi única y de importancia mundial, siendo la República Dominicana, después de Cuba, el territorio del Caribe con mayor biodiversidad y más alto nivel de endemismos. La diversidad de ambientes y el altísimo valor ecológico que albergan deben ser suficientemente valorados desde la planificación de las políticas de desarrollo, implementándose un modelo de desarrollo que se apoye en la diversidad y riqueza natural del país.</w:t>
      </w:r>
    </w:p>
    <w:p>
      <w:pPr>
        <w:pStyle w:val="BodyText"/>
      </w:pPr>
    </w:p>
    <w:p>
      <w:pPr>
        <w:pStyle w:val="BodyText"/>
        <w:ind w:left="240" w:right="1055"/>
        <w:jc w:val="both"/>
      </w:pPr>
      <w:r>
        <w:rPr/>
        <w:t>Los proyectos de generación y transporte de energía deberían quedar al margen del sistema nacional de áreas protegidas, incluso aún tratándose de generación de energía renovable como medida de cautela ante las posibles incidencias ambientales sobre los ecosistemas que albergan estos espacios.</w:t>
      </w:r>
    </w:p>
    <w:p>
      <w:pPr>
        <w:pStyle w:val="BodyText"/>
        <w:spacing w:before="10"/>
        <w:rPr>
          <w:sz w:val="20"/>
        </w:rPr>
      </w:pPr>
      <w:r>
        <w:rPr/>
        <w:pict>
          <v:shape style="position:absolute;margin-left:66.359993pt;margin-top:14.809361pt;width:479.3pt;height:42.4pt;mso-position-horizontal-relative:page;mso-position-vertical-relative:paragraph;z-index:-15668224;mso-wrap-distance-left:0;mso-wrap-distance-right:0" type="#_x0000_t202" filled="false" stroked="true" strokeweight=".480075pt" strokecolor="#000000">
            <v:textbox inset="0,0,0,0">
              <w:txbxContent>
                <w:p>
                  <w:pPr>
                    <w:spacing w:line="240" w:lineRule="auto" w:before="20"/>
                    <w:ind w:left="107" w:right="102" w:firstLine="0"/>
                    <w:jc w:val="both"/>
                    <w:rPr>
                      <w:sz w:val="22"/>
                    </w:rPr>
                  </w:pPr>
                  <w:r>
                    <w:rPr>
                      <w:sz w:val="22"/>
                    </w:rPr>
                    <w:t>Se ha de abordar la planificación energética a partir de un ordenamiento territorial que considere la dimensión ambiental en su vertiente de conservación de los ecosistemas más valiosos y con la menor afección sobre las especies más frágiles y</w:t>
                  </w:r>
                  <w:r>
                    <w:rPr>
                      <w:spacing w:val="-11"/>
                      <w:sz w:val="22"/>
                    </w:rPr>
                    <w:t> </w:t>
                  </w:r>
                  <w:r>
                    <w:rPr>
                      <w:sz w:val="22"/>
                    </w:rPr>
                    <w:t>vulnerables.</w:t>
                  </w:r>
                </w:p>
              </w:txbxContent>
            </v:textbox>
            <v:stroke dashstyle="solid"/>
            <w10:wrap type="topAndBottom"/>
          </v:shape>
        </w:pict>
      </w:r>
    </w:p>
    <w:p>
      <w:pPr>
        <w:pStyle w:val="BodyText"/>
        <w:spacing w:before="5"/>
        <w:rPr>
          <w:sz w:val="13"/>
        </w:rPr>
      </w:pPr>
    </w:p>
    <w:p>
      <w:pPr>
        <w:pStyle w:val="Heading3"/>
        <w:spacing w:before="103"/>
        <w:ind w:left="948"/>
        <w:rPr>
          <w:i/>
        </w:rPr>
      </w:pPr>
      <w:bookmarkStart w:name="_TOC_250023" w:id="76"/>
      <w:bookmarkEnd w:id="76"/>
      <w:r>
        <w:rPr>
          <w:i/>
          <w:w w:val="110"/>
        </w:rPr>
        <w:t>Las fuentes de energía</w:t>
      </w:r>
    </w:p>
    <w:p>
      <w:pPr>
        <w:pStyle w:val="BodyText"/>
        <w:spacing w:before="2"/>
        <w:rPr>
          <w:rFonts w:ascii="Times New Roman"/>
          <w:b/>
          <w:i/>
          <w:sz w:val="25"/>
        </w:rPr>
      </w:pPr>
    </w:p>
    <w:p>
      <w:pPr>
        <w:pStyle w:val="BodyText"/>
        <w:spacing w:before="1"/>
        <w:ind w:left="240" w:right="1054"/>
        <w:jc w:val="both"/>
      </w:pPr>
      <w:r>
        <w:rPr/>
        <w:t>La necesidad de buscar una menor dependencia energética del exterior, unido a la creciente preocupación por las emisiones de gases de efecto invernadero, e incentivado por las ventajas fiscales y de mercado del carbono, está haciendo de las energías alternativas un motor de desarrollo del sector energético dominicano para los próximos</w:t>
      </w:r>
      <w:r>
        <w:rPr>
          <w:spacing w:val="-12"/>
        </w:rPr>
        <w:t> </w:t>
      </w:r>
      <w:r>
        <w:rPr/>
        <w:t>años.</w:t>
      </w:r>
    </w:p>
    <w:p>
      <w:pPr>
        <w:pStyle w:val="BodyText"/>
        <w:spacing w:before="11"/>
      </w:pPr>
    </w:p>
    <w:p>
      <w:pPr>
        <w:pStyle w:val="BodyText"/>
        <w:ind w:left="240" w:right="1054"/>
        <w:jc w:val="both"/>
      </w:pPr>
      <w:r>
        <w:rPr/>
        <w:t>Estas iniciativas de reducción de las emisiones, sin embargo se ven difuminadas por el continuo incremento de las emisiones debidas al aumento de la demanda energética y a las nuevas plantas de gas y carbón. Solo con un apoyo programático a las energías alternativas podrá contrarrestarse el peso del uso de combustibles fósiles y el cambio definitivo en el modelo energético haciéndolo más limpio y sostenible.</w:t>
      </w:r>
    </w:p>
    <w:p>
      <w:pPr>
        <w:pStyle w:val="BodyText"/>
        <w:spacing w:before="11"/>
        <w:rPr>
          <w:sz w:val="19"/>
        </w:rPr>
      </w:pPr>
      <w:r>
        <w:rPr/>
        <w:pict>
          <v:shape style="position:absolute;margin-left:66.359993pt;margin-top:14.223189pt;width:479.3pt;height:29.05pt;mso-position-horizontal-relative:page;mso-position-vertical-relative:paragraph;z-index:-15667712;mso-wrap-distance-left:0;mso-wrap-distance-right:0" type="#_x0000_t202" filled="false" stroked="true" strokeweight=".48006pt" strokecolor="#000000">
            <v:textbox inset="0,0,0,0">
              <w:txbxContent>
                <w:p>
                  <w:pPr>
                    <w:spacing w:before="20"/>
                    <w:ind w:left="107" w:right="0" w:firstLine="0"/>
                    <w:jc w:val="left"/>
                    <w:rPr>
                      <w:sz w:val="22"/>
                    </w:rPr>
                  </w:pPr>
                  <w:r>
                    <w:rPr>
                      <w:sz w:val="22"/>
                    </w:rPr>
                    <w:t>Las fuentes de energía renovable en funcionamiento con mayor potencial de producción en los próximos años, son las referidas a los biocombustibles, a la energía eólica, a la cogeneración.</w:t>
                  </w:r>
                </w:p>
              </w:txbxContent>
            </v:textbox>
            <v:stroke dashstyle="solid"/>
            <w10:wrap type="topAndBottom"/>
          </v:shape>
        </w:pict>
      </w:r>
    </w:p>
    <w:p>
      <w:pPr>
        <w:pStyle w:val="BodyText"/>
        <w:spacing w:before="5"/>
        <w:rPr>
          <w:sz w:val="13"/>
        </w:rPr>
      </w:pPr>
    </w:p>
    <w:p>
      <w:pPr>
        <w:pStyle w:val="Heading3"/>
        <w:spacing w:before="103"/>
        <w:ind w:left="948"/>
        <w:rPr>
          <w:i/>
        </w:rPr>
      </w:pPr>
      <w:bookmarkStart w:name="_TOC_250022" w:id="77"/>
      <w:bookmarkEnd w:id="77"/>
      <w:r>
        <w:rPr>
          <w:i/>
          <w:w w:val="110"/>
        </w:rPr>
        <w:t>Producción hidroeléctrica</w:t>
      </w:r>
    </w:p>
    <w:p>
      <w:pPr>
        <w:pStyle w:val="BodyText"/>
        <w:spacing w:before="2"/>
        <w:rPr>
          <w:rFonts w:ascii="Times New Roman"/>
          <w:b/>
          <w:i/>
          <w:sz w:val="25"/>
        </w:rPr>
      </w:pPr>
    </w:p>
    <w:p>
      <w:pPr>
        <w:pStyle w:val="BodyText"/>
        <w:spacing w:before="1"/>
        <w:ind w:left="240" w:right="1054"/>
        <w:jc w:val="both"/>
      </w:pPr>
      <w:r>
        <w:rPr/>
        <w:t>Es necesario revisar el manejo integral de las presas incorporando en él una política de gestión forestal sostenible y de conservación de bosques en su entorno. Esto ayudará a disminuir la velocidad de sedimentación de los embalses, la deforestación, la erosión de suelos y la prevención de fenómenos de deslizamientos y derrumbes de laderas.</w:t>
      </w:r>
    </w:p>
    <w:p>
      <w:pPr>
        <w:pStyle w:val="BodyText"/>
        <w:spacing w:before="10"/>
        <w:rPr>
          <w:sz w:val="19"/>
        </w:rPr>
      </w:pPr>
      <w:r>
        <w:rPr/>
        <w:pict>
          <v:shape style="position:absolute;margin-left:66.359993pt;margin-top:14.178347pt;width:479.3pt;height:55.7pt;mso-position-horizontal-relative:page;mso-position-vertical-relative:paragraph;z-index:-15667200;mso-wrap-distance-left:0;mso-wrap-distance-right:0" type="#_x0000_t202" filled="false" stroked="true" strokeweight=".48009pt" strokecolor="#000000">
            <v:textbox inset="0,0,0,0">
              <w:txbxContent>
                <w:p>
                  <w:pPr>
                    <w:spacing w:before="20"/>
                    <w:ind w:left="107" w:right="102" w:firstLine="0"/>
                    <w:jc w:val="both"/>
                    <w:rPr>
                      <w:sz w:val="22"/>
                    </w:rPr>
                  </w:pPr>
                  <w:r>
                    <w:rPr>
                      <w:sz w:val="22"/>
                    </w:rPr>
                    <w:t>Es necesario prestar una adecuada atención a la ubicación de las presas y ponderar adecuadamente los beneficios económicos que puedan tener con respecto al deterioro de paisajes y ecosistemas de gran valor.</w:t>
                  </w:r>
                </w:p>
              </w:txbxContent>
            </v:textbox>
            <v:stroke dashstyle="solid"/>
            <w10:wrap type="topAndBottom"/>
          </v:shape>
        </w:pict>
      </w:r>
    </w:p>
    <w:p>
      <w:pPr>
        <w:spacing w:after="0"/>
        <w:rPr>
          <w:sz w:val="19"/>
        </w:rPr>
        <w:sectPr>
          <w:pgSz w:w="12240" w:h="15840"/>
          <w:pgMar w:header="718" w:footer="954" w:top="1360" w:bottom="1140" w:left="1200" w:right="380"/>
        </w:sectPr>
      </w:pPr>
    </w:p>
    <w:p>
      <w:pPr>
        <w:pStyle w:val="BodyText"/>
        <w:spacing w:before="10"/>
        <w:rPr>
          <w:sz w:val="19"/>
        </w:rPr>
      </w:pPr>
    </w:p>
    <w:p>
      <w:pPr>
        <w:pStyle w:val="BodyText"/>
        <w:ind w:left="122"/>
        <w:rPr>
          <w:sz w:val="20"/>
        </w:rPr>
      </w:pPr>
      <w:r>
        <w:rPr>
          <w:sz w:val="20"/>
        </w:rPr>
        <w:pict>
          <v:shape style="width:479.3pt;height:42.4pt;mso-position-horizontal-relative:char;mso-position-vertical-relative:line" type="#_x0000_t202" filled="false" stroked="true" strokeweight=".480075pt" strokecolor="#000000">
            <w10:anchorlock/>
            <v:textbox inset="0,0,0,0">
              <w:txbxContent>
                <w:p>
                  <w:pPr>
                    <w:spacing w:before="20"/>
                    <w:ind w:left="107" w:right="103" w:firstLine="0"/>
                    <w:jc w:val="both"/>
                    <w:rPr>
                      <w:sz w:val="22"/>
                    </w:rPr>
                  </w:pPr>
                  <w:r>
                    <w:rPr>
                      <w:sz w:val="22"/>
                    </w:rPr>
                    <w:t>Del mismo modo, ante la construcción de nuevas presas ha de prestarse atención al uso de las riberas aguas abajo tanto para evitar posibles daños por desbordamientos de las mismas, como para evitar una disminución en los recursos hídricos aguas abajo.</w:t>
                  </w:r>
                </w:p>
              </w:txbxContent>
            </v:textbox>
            <v:stroke dashstyle="solid"/>
          </v:shape>
        </w:pict>
      </w:r>
      <w:r>
        <w:rPr>
          <w:sz w:val="20"/>
        </w:rPr>
      </w:r>
    </w:p>
    <w:p>
      <w:pPr>
        <w:pStyle w:val="BodyText"/>
        <w:spacing w:before="8"/>
        <w:rPr>
          <w:sz w:val="12"/>
        </w:rPr>
      </w:pPr>
    </w:p>
    <w:p>
      <w:pPr>
        <w:pStyle w:val="Heading3"/>
        <w:spacing w:before="103"/>
        <w:ind w:left="948"/>
        <w:rPr>
          <w:i/>
        </w:rPr>
      </w:pPr>
      <w:bookmarkStart w:name="_TOC_250021" w:id="78"/>
      <w:bookmarkEnd w:id="78"/>
      <w:r>
        <w:rPr>
          <w:i/>
          <w:w w:val="105"/>
        </w:rPr>
        <w:t>Producción de Energía Eólica</w:t>
      </w:r>
    </w:p>
    <w:p>
      <w:pPr>
        <w:pStyle w:val="BodyText"/>
        <w:spacing w:before="2"/>
        <w:rPr>
          <w:rFonts w:ascii="Times New Roman"/>
          <w:b/>
          <w:i/>
          <w:sz w:val="25"/>
        </w:rPr>
      </w:pPr>
    </w:p>
    <w:p>
      <w:pPr>
        <w:pStyle w:val="BodyText"/>
        <w:spacing w:before="1"/>
        <w:ind w:left="240" w:right="1055"/>
        <w:jc w:val="both"/>
      </w:pPr>
      <w:r>
        <w:rPr/>
        <w:t>Uno de los criterios ambientales a considerar en la generación de energía eólica es el establecimiento con carácter previo de áreas de exclusión eólica, evitando la instalación de parques eólicos en zonas de alto valor ecológico.</w:t>
      </w:r>
    </w:p>
    <w:p>
      <w:pPr>
        <w:pStyle w:val="BodyText"/>
        <w:spacing w:before="10"/>
        <w:rPr>
          <w:sz w:val="22"/>
        </w:rPr>
      </w:pPr>
    </w:p>
    <w:p>
      <w:pPr>
        <w:pStyle w:val="BodyText"/>
        <w:ind w:left="240" w:right="1054"/>
        <w:jc w:val="both"/>
      </w:pPr>
      <w:r>
        <w:rPr/>
        <w:t>Los parques eólicos no deben ser analizados exclusivamente como una instalación localizada allí donde se ubican los aerogeneradores, sino que se ha de incluir en el análisis de su incidencia ambiental los necesarios tendidos eléctricos, los cuales, y dadas las ubicaciones en estudio, en la costa y en zonas alejadas del circuito existente de distribución de la energía, se verán abocados a atravesar territorios lo cual podrá conllevar impactos ecológicos y paisajísticos.</w:t>
      </w:r>
    </w:p>
    <w:p>
      <w:pPr>
        <w:pStyle w:val="BodyText"/>
      </w:pPr>
    </w:p>
    <w:p>
      <w:pPr>
        <w:pStyle w:val="BodyText"/>
        <w:spacing w:before="1"/>
        <w:ind w:left="240" w:right="1058"/>
        <w:jc w:val="both"/>
      </w:pPr>
      <w:r>
        <w:rPr/>
        <w:t>El criterio de distancia a las poblaciones también debe ser tenido en cuenta de cara a evitar contaminación acústica en la población cercana.</w:t>
      </w:r>
    </w:p>
    <w:p>
      <w:pPr>
        <w:pStyle w:val="BodyText"/>
        <w:spacing w:before="6"/>
        <w:rPr>
          <w:sz w:val="24"/>
        </w:rPr>
      </w:pPr>
    </w:p>
    <w:p>
      <w:pPr>
        <w:pStyle w:val="Heading3"/>
        <w:ind w:left="948"/>
        <w:rPr>
          <w:i/>
        </w:rPr>
      </w:pPr>
      <w:bookmarkStart w:name="_TOC_250020" w:id="79"/>
      <w:bookmarkEnd w:id="79"/>
      <w:r>
        <w:rPr>
          <w:i/>
          <w:w w:val="110"/>
        </w:rPr>
        <w:t>Producción de Energía Térmica</w:t>
      </w:r>
    </w:p>
    <w:p>
      <w:pPr>
        <w:pStyle w:val="BodyText"/>
        <w:spacing w:before="2"/>
        <w:rPr>
          <w:rFonts w:ascii="Times New Roman"/>
          <w:b/>
          <w:i/>
          <w:sz w:val="25"/>
        </w:rPr>
      </w:pPr>
    </w:p>
    <w:p>
      <w:pPr>
        <w:pStyle w:val="BodyText"/>
        <w:ind w:left="240" w:right="1054"/>
        <w:jc w:val="both"/>
      </w:pPr>
      <w:r>
        <w:rPr/>
        <w:t>El sector energético dominicano depende de las importación de petróleo y de carbón (el 90% del suministro energético es importado). El creciente suministro de electricidad ha conllevado en los últimos años a un incremento de emisiones mucho mayor a la tendencia exhibida por otros países en desarrollo o de la región.</w:t>
      </w:r>
    </w:p>
    <w:p>
      <w:pPr>
        <w:pStyle w:val="BodyText"/>
        <w:spacing w:before="11"/>
        <w:rPr>
          <w:sz w:val="22"/>
        </w:rPr>
      </w:pPr>
    </w:p>
    <w:p>
      <w:pPr>
        <w:pStyle w:val="BodyText"/>
        <w:ind w:left="240" w:right="1055"/>
        <w:jc w:val="both"/>
      </w:pPr>
      <w:r>
        <w:rPr/>
        <w:t>La apuesta por el carbón frente al fuel ofrece menos riesgos respecto al transporte pero necesita una superficie mayor de almacenaje, y los residuos generados deben ser gestionados adecuadamente para evitar la contaminación del suelo y del agua.</w:t>
      </w:r>
    </w:p>
    <w:p>
      <w:pPr>
        <w:pStyle w:val="BodyText"/>
        <w:spacing w:before="1"/>
      </w:pPr>
    </w:p>
    <w:p>
      <w:pPr>
        <w:pStyle w:val="BodyText"/>
        <w:ind w:left="240" w:right="1054"/>
        <w:jc w:val="both"/>
      </w:pPr>
      <w:r>
        <w:rPr/>
        <w:t>La sustitución de plantas de fueloil por planta de gas natural supone una mejora ambiental al tener estas plantas un menor impacto ambiental en el entorno respecto al fuel. El impacto más importante se deriva de los gasoductos cuyo trazado puede provocar impactos ambientales en el paisaje y en la</w:t>
      </w:r>
      <w:r>
        <w:rPr>
          <w:spacing w:val="-3"/>
        </w:rPr>
        <w:t> </w:t>
      </w:r>
      <w:r>
        <w:rPr/>
        <w:t>biodiversidad.</w:t>
      </w:r>
    </w:p>
    <w:p>
      <w:pPr>
        <w:pStyle w:val="BodyText"/>
        <w:spacing w:before="11"/>
        <w:rPr>
          <w:sz w:val="22"/>
        </w:rPr>
      </w:pPr>
    </w:p>
    <w:p>
      <w:pPr>
        <w:pStyle w:val="BodyText"/>
        <w:ind w:left="240" w:right="1054"/>
        <w:jc w:val="both"/>
      </w:pPr>
      <w:r>
        <w:rPr/>
        <w:t>Los efectos ambientales producidos por las emisiones de gases contaminantes y de partículas no solo son indiscutiblemente negativos, sino que son el objeto principal de preocupación desde la política ambiental energética a nivel nacional e internacional. Esto puede llevar al riesgo incluso de prestar una menor atención a otros factores de riesgo de tipo ambiental, que afectan de forma significativa a los lugares próximos a las instalaciones de la plantas generadoras (contaminación de suelos, contaminación de aguas subterráneas, alteración de procesos bióticos en la costa, ruido, generación de residuos sólidos, impactos derivados de las líneas de transporte de la energía desde las plantas a los centros de transformación y distribución, etc.).</w:t>
      </w:r>
    </w:p>
    <w:p>
      <w:pPr>
        <w:spacing w:after="0"/>
        <w:jc w:val="both"/>
        <w:sectPr>
          <w:pgSz w:w="12240" w:h="15840"/>
          <w:pgMar w:header="718" w:footer="954" w:top="1360" w:bottom="1140" w:left="1200" w:right="380"/>
        </w:sectPr>
      </w:pPr>
    </w:p>
    <w:p>
      <w:pPr>
        <w:pStyle w:val="BodyText"/>
        <w:rPr>
          <w:sz w:val="20"/>
        </w:rPr>
      </w:pPr>
    </w:p>
    <w:p>
      <w:pPr>
        <w:pStyle w:val="BodyText"/>
        <w:spacing w:before="9"/>
        <w:rPr>
          <w:sz w:val="22"/>
        </w:rPr>
      </w:pPr>
    </w:p>
    <w:p>
      <w:pPr>
        <w:pStyle w:val="BodyText"/>
        <w:ind w:left="239" w:right="1055"/>
        <w:jc w:val="both"/>
      </w:pPr>
      <w:r>
        <w:rPr/>
        <w:t>Es necesario hacer mención a diferentes sectores económicos por su importancia en el consumo energético a nivel nacional. El Transporte es el sector de consumo con mayor consumo de energía (43.4%), seguido por el Residencial (28.9%) e Industrial (19.7%).</w:t>
      </w:r>
    </w:p>
    <w:p>
      <w:pPr>
        <w:pStyle w:val="BodyText"/>
        <w:spacing w:before="7"/>
        <w:rPr>
          <w:sz w:val="24"/>
        </w:rPr>
      </w:pPr>
    </w:p>
    <w:p>
      <w:pPr>
        <w:pStyle w:val="Heading3"/>
        <w:ind w:left="948"/>
        <w:rPr>
          <w:i/>
        </w:rPr>
      </w:pPr>
      <w:bookmarkStart w:name="_TOC_250019" w:id="80"/>
      <w:bookmarkEnd w:id="80"/>
      <w:r>
        <w:rPr>
          <w:i/>
          <w:w w:val="115"/>
        </w:rPr>
        <w:t>Consumo por el sector transporte</w:t>
      </w:r>
    </w:p>
    <w:p>
      <w:pPr>
        <w:pStyle w:val="BodyText"/>
        <w:spacing w:before="2"/>
        <w:rPr>
          <w:rFonts w:ascii="Times New Roman"/>
          <w:b/>
          <w:i/>
          <w:sz w:val="25"/>
        </w:rPr>
      </w:pPr>
    </w:p>
    <w:p>
      <w:pPr>
        <w:pStyle w:val="BodyText"/>
        <w:ind w:left="240" w:right="1054"/>
        <w:jc w:val="both"/>
      </w:pPr>
      <w:r>
        <w:rPr/>
        <w:t>El principal efecto ambiental del sector del transporte radica en la falta de eficacia y en el escaso mantenimiento de los motores de los vehículos, con altas emisiones de partículas; en la escasa conciencia sobre los beneficios de una conducción eficaz del vehículo, tanto en lo que respecta a su ahorro de combustible, como a la disminución en las emisiones atmosféricas; y finalmente en la baja calidad de los</w:t>
      </w:r>
      <w:r>
        <w:rPr>
          <w:spacing w:val="-7"/>
        </w:rPr>
        <w:t> </w:t>
      </w:r>
      <w:r>
        <w:rPr/>
        <w:t>combustibles.</w:t>
      </w:r>
    </w:p>
    <w:p>
      <w:pPr>
        <w:pStyle w:val="BodyText"/>
      </w:pPr>
    </w:p>
    <w:p>
      <w:pPr>
        <w:pStyle w:val="BodyText"/>
        <w:ind w:left="240" w:right="1006"/>
      </w:pPr>
      <w:r>
        <w:rPr/>
        <w:t>La promoción por el transporte público (p.ej: como es el caso del metro en Santo Domingo), y el mejoramiento en la administración del tránsito son hasta la fecha los métodos más eficaces de reducir el impacto ambiental generado por el sector del transporte y  en concreto la reducción de su factura energética. Estas políticas han de ir acompañadas por campañas educativas sobre los hábitos de conducir y prácticas de mantenimiento de los vehículos podrán ayudar a reducir el consumo de</w:t>
      </w:r>
      <w:r>
        <w:rPr>
          <w:spacing w:val="-6"/>
        </w:rPr>
        <w:t> </w:t>
      </w:r>
      <w:r>
        <w:rPr/>
        <w:t>combustibles.</w:t>
      </w:r>
    </w:p>
    <w:p>
      <w:pPr>
        <w:pStyle w:val="BodyText"/>
        <w:spacing w:before="5"/>
        <w:rPr>
          <w:sz w:val="24"/>
        </w:rPr>
      </w:pPr>
    </w:p>
    <w:p>
      <w:pPr>
        <w:pStyle w:val="Heading3"/>
        <w:ind w:left="948"/>
        <w:rPr>
          <w:i/>
        </w:rPr>
      </w:pPr>
      <w:bookmarkStart w:name="_TOC_250018" w:id="81"/>
      <w:bookmarkEnd w:id="81"/>
      <w:r>
        <w:rPr>
          <w:i/>
          <w:w w:val="110"/>
        </w:rPr>
        <w:t>Consumo por el sector residencial</w:t>
      </w:r>
    </w:p>
    <w:p>
      <w:pPr>
        <w:pStyle w:val="BodyText"/>
        <w:spacing w:before="2"/>
        <w:rPr>
          <w:rFonts w:ascii="Times New Roman"/>
          <w:b/>
          <w:i/>
          <w:sz w:val="25"/>
        </w:rPr>
      </w:pPr>
    </w:p>
    <w:p>
      <w:pPr>
        <w:pStyle w:val="BodyText"/>
        <w:tabs>
          <w:tab w:pos="4500" w:val="left" w:leader="none"/>
        </w:tabs>
        <w:ind w:left="240" w:right="985"/>
      </w:pPr>
      <w:r>
        <w:rPr/>
        <w:t>El mal servicio en el suministro eléctrico hace que la gente sea renuente a pagar por un servicio precario, siendo habituales las conexiones ilegales, con el consiguiente riesgo para las  personas,  la  búsqueda</w:t>
      </w:r>
      <w:r>
        <w:rPr>
          <w:spacing w:val="6"/>
        </w:rPr>
        <w:t> </w:t>
      </w:r>
      <w:r>
        <w:rPr/>
        <w:t>de</w:t>
      </w:r>
      <w:r>
        <w:rPr>
          <w:spacing w:val="56"/>
        </w:rPr>
        <w:t> </w:t>
      </w:r>
      <w:r>
        <w:rPr/>
        <w:t>formas</w:t>
        <w:tab/>
        <w:t>alternativas que garanticen el servicio, como la proliferación de inversores con baterías con escaso mantenimiento e instalaciones en precario, el uso de generadores autónomos de gasolina, con malas combustiones y ruidosos, etc. Todo ello hace que el nivel de descontento de la población con el servicio eléctrico sea alto, lo cual junto con cierto desapego hacia prácticas de ahorro y uso responsable de la energía dificulta plantear el ahorro como la mejor manera de disminuir tanto la factura energética, como la incidencia del sector sobre el medio</w:t>
      </w:r>
      <w:r>
        <w:rPr>
          <w:spacing w:val="-9"/>
        </w:rPr>
        <w:t> </w:t>
      </w:r>
      <w:r>
        <w:rPr/>
        <w:t>ambiente.</w:t>
      </w:r>
    </w:p>
    <w:p>
      <w:pPr>
        <w:pStyle w:val="BodyText"/>
        <w:spacing w:before="1"/>
      </w:pPr>
    </w:p>
    <w:p>
      <w:pPr>
        <w:pStyle w:val="BodyText"/>
        <w:ind w:left="240" w:right="1053"/>
        <w:jc w:val="both"/>
      </w:pPr>
      <w:r>
        <w:rPr/>
        <w:t>Como consecuencias del mal funcionamiento del sistema eléctrico nacional y derivado de la generación particular y autónoma de energía, se incrementan los problemas de ruidos, emisión de contaminantes y contaminación de suelo y agua por el mal uso de estos sistemas autónomos de</w:t>
      </w:r>
      <w:r>
        <w:rPr>
          <w:spacing w:val="1"/>
        </w:rPr>
        <w:t> </w:t>
      </w:r>
      <w:r>
        <w:rPr/>
        <w:t>generación.</w:t>
      </w:r>
    </w:p>
    <w:p>
      <w:pPr>
        <w:pStyle w:val="BodyText"/>
        <w:spacing w:before="5"/>
        <w:rPr>
          <w:sz w:val="24"/>
        </w:rPr>
      </w:pPr>
    </w:p>
    <w:p>
      <w:pPr>
        <w:pStyle w:val="Heading3"/>
        <w:spacing w:before="1"/>
        <w:ind w:left="948"/>
        <w:rPr>
          <w:i/>
        </w:rPr>
      </w:pPr>
      <w:bookmarkStart w:name="_TOC_250017" w:id="82"/>
      <w:bookmarkEnd w:id="82"/>
      <w:r>
        <w:rPr>
          <w:i/>
          <w:w w:val="110"/>
        </w:rPr>
        <w:t>Consumo por el sector Comercial</w:t>
      </w:r>
    </w:p>
    <w:p>
      <w:pPr>
        <w:pStyle w:val="BodyText"/>
        <w:spacing w:before="2"/>
        <w:rPr>
          <w:rFonts w:ascii="Times New Roman"/>
          <w:b/>
          <w:i/>
          <w:sz w:val="25"/>
        </w:rPr>
      </w:pPr>
    </w:p>
    <w:p>
      <w:pPr>
        <w:pStyle w:val="BodyText"/>
        <w:ind w:left="240" w:right="1055"/>
        <w:jc w:val="both"/>
      </w:pPr>
      <w:r>
        <w:rPr/>
        <w:t>Habida cuenta de baja confiabilidad del sistema eléctrico nacional, muchos pequeños comercios en los principales centros urbanos cuentan con generadores de electricidad de pequeño voltaje que funcionan en la vía pública emitiendo ruido y gases contaminantes.</w:t>
      </w:r>
    </w:p>
    <w:p>
      <w:pPr>
        <w:spacing w:after="0"/>
        <w:jc w:val="both"/>
        <w:sectPr>
          <w:pgSz w:w="12240" w:h="15840"/>
          <w:pgMar w:header="718" w:footer="954" w:top="1360" w:bottom="1140" w:left="1200" w:right="380"/>
        </w:sectPr>
      </w:pPr>
    </w:p>
    <w:p>
      <w:pPr>
        <w:pStyle w:val="BodyText"/>
        <w:spacing w:before="8"/>
        <w:rPr>
          <w:sz w:val="11"/>
        </w:rPr>
      </w:pPr>
    </w:p>
    <w:p>
      <w:pPr>
        <w:pStyle w:val="Heading3"/>
        <w:spacing w:before="103"/>
        <w:ind w:left="947"/>
        <w:rPr>
          <w:i/>
        </w:rPr>
      </w:pPr>
      <w:bookmarkStart w:name="_TOC_250016" w:id="83"/>
      <w:bookmarkEnd w:id="83"/>
      <w:r>
        <w:rPr>
          <w:i/>
          <w:w w:val="105"/>
        </w:rPr>
        <w:t>Resumen</w:t>
      </w:r>
    </w:p>
    <w:p>
      <w:pPr>
        <w:pStyle w:val="BodyText"/>
        <w:spacing w:before="2"/>
        <w:rPr>
          <w:rFonts w:ascii="Times New Roman"/>
          <w:b/>
          <w:i/>
          <w:sz w:val="25"/>
        </w:rPr>
      </w:pPr>
    </w:p>
    <w:p>
      <w:pPr>
        <w:pStyle w:val="BodyText"/>
        <w:spacing w:before="1"/>
        <w:ind w:left="240" w:right="1055" w:hanging="1"/>
        <w:jc w:val="both"/>
      </w:pPr>
      <w:r>
        <w:rPr/>
        <w:t>A modo de resumen, para la correcta incorporación del componente ambiental en el proceso de planificación del PEN se han de tener en cuenta prioritariamente los siguientes problemas específicos.</w:t>
      </w:r>
    </w:p>
    <w:p>
      <w:pPr>
        <w:pStyle w:val="BodyText"/>
        <w:rPr>
          <w:sz w:val="34"/>
        </w:rPr>
      </w:pPr>
    </w:p>
    <w:p>
      <w:pPr>
        <w:pStyle w:val="ListParagraph"/>
        <w:numPr>
          <w:ilvl w:val="0"/>
          <w:numId w:val="59"/>
        </w:numPr>
        <w:tabs>
          <w:tab w:pos="960" w:val="left" w:leader="none"/>
        </w:tabs>
        <w:spacing w:line="240" w:lineRule="auto" w:before="0" w:after="0"/>
        <w:ind w:left="960" w:right="1054" w:hanging="360"/>
        <w:jc w:val="both"/>
        <w:rPr>
          <w:sz w:val="22"/>
        </w:rPr>
      </w:pPr>
      <w:r>
        <w:rPr>
          <w:sz w:val="22"/>
        </w:rPr>
        <w:t>Se ha de abordar la especificidad de las características ambientales de la República Dominicana como condicionante previo que articule la toma de decisiones sobre el PEN, y haciendo especial mención a las condiciones de </w:t>
      </w:r>
      <w:r>
        <w:rPr>
          <w:b/>
          <w:sz w:val="22"/>
        </w:rPr>
        <w:t>insularidad</w:t>
      </w:r>
      <w:r>
        <w:rPr>
          <w:sz w:val="22"/>
        </w:rPr>
        <w:t>, </w:t>
      </w:r>
      <w:r>
        <w:rPr>
          <w:b/>
          <w:sz w:val="22"/>
        </w:rPr>
        <w:t>condicionantes geológicos </w:t>
      </w:r>
      <w:r>
        <w:rPr>
          <w:sz w:val="22"/>
        </w:rPr>
        <w:t>y </w:t>
      </w:r>
      <w:r>
        <w:rPr>
          <w:b/>
          <w:sz w:val="22"/>
        </w:rPr>
        <w:t>climáticos</w:t>
      </w:r>
      <w:r>
        <w:rPr>
          <w:sz w:val="22"/>
        </w:rPr>
        <w:t>, y </w:t>
      </w:r>
      <w:r>
        <w:rPr>
          <w:b/>
          <w:sz w:val="22"/>
        </w:rPr>
        <w:t>vulnerabilidad del</w:t>
      </w:r>
      <w:r>
        <w:rPr>
          <w:b/>
          <w:spacing w:val="3"/>
          <w:sz w:val="22"/>
        </w:rPr>
        <w:t> </w:t>
      </w:r>
      <w:r>
        <w:rPr>
          <w:b/>
          <w:sz w:val="22"/>
        </w:rPr>
        <w:t>ecosistema</w:t>
      </w:r>
      <w:r>
        <w:rPr>
          <w:sz w:val="22"/>
        </w:rPr>
        <w:t>.</w:t>
      </w:r>
    </w:p>
    <w:p>
      <w:pPr>
        <w:pStyle w:val="ListParagraph"/>
        <w:numPr>
          <w:ilvl w:val="0"/>
          <w:numId w:val="59"/>
        </w:numPr>
        <w:tabs>
          <w:tab w:pos="960" w:val="left" w:leader="none"/>
        </w:tabs>
        <w:spacing w:line="240" w:lineRule="auto" w:before="119" w:after="0"/>
        <w:ind w:left="959" w:right="1054" w:hanging="360"/>
        <w:jc w:val="both"/>
        <w:rPr>
          <w:sz w:val="22"/>
        </w:rPr>
      </w:pPr>
      <w:r>
        <w:rPr>
          <w:sz w:val="22"/>
        </w:rPr>
        <w:t>Se debe priorizar los efectos ambientales producidos por las emisiones de gases contaminantes y de partículas como el objeto principal de preocupación desde la política ambiental energética.</w:t>
      </w:r>
    </w:p>
    <w:p>
      <w:pPr>
        <w:pStyle w:val="ListParagraph"/>
        <w:numPr>
          <w:ilvl w:val="0"/>
          <w:numId w:val="59"/>
        </w:numPr>
        <w:tabs>
          <w:tab w:pos="960" w:val="left" w:leader="none"/>
        </w:tabs>
        <w:spacing w:line="240" w:lineRule="auto" w:before="120" w:after="0"/>
        <w:ind w:left="959" w:right="1054" w:hanging="360"/>
        <w:jc w:val="both"/>
        <w:rPr>
          <w:sz w:val="22"/>
        </w:rPr>
      </w:pPr>
      <w:r>
        <w:rPr>
          <w:sz w:val="22"/>
        </w:rPr>
        <w:t>Se ha de abordar la planificación energética a partir de un ordenamiento territorial que considere la dimensión ambiental en su vertiente de conservación de los ecosistemas más valiosos y con la menor afección sobre las especies más frágiles y vulnerables. Se ha de prestar especial atención a la correcta ubicación de las nuevas plantas de producción energética y sistemas de transporte y transmisión, evitándose aquellos lugares frágiles o vulnerables, y en especial sobre los ecosistemas costeros o cuerpos  de</w:t>
      </w:r>
      <w:r>
        <w:rPr>
          <w:spacing w:val="-1"/>
          <w:sz w:val="22"/>
        </w:rPr>
        <w:t> </w:t>
      </w:r>
      <w:r>
        <w:rPr>
          <w:sz w:val="22"/>
        </w:rPr>
        <w:t>agua.</w:t>
      </w:r>
    </w:p>
    <w:p>
      <w:pPr>
        <w:pStyle w:val="ListParagraph"/>
        <w:numPr>
          <w:ilvl w:val="0"/>
          <w:numId w:val="59"/>
        </w:numPr>
        <w:tabs>
          <w:tab w:pos="960" w:val="left" w:leader="none"/>
        </w:tabs>
        <w:spacing w:line="240" w:lineRule="auto" w:before="121" w:after="0"/>
        <w:ind w:left="959" w:right="1055" w:hanging="360"/>
        <w:jc w:val="both"/>
        <w:rPr>
          <w:sz w:val="22"/>
        </w:rPr>
      </w:pPr>
      <w:r>
        <w:rPr>
          <w:sz w:val="22"/>
        </w:rPr>
        <w:t>Se ha de acometer un manejo integral del recurso hídrico en sus áreas de influencia que permita el aprovechamiento de generación de energía hidráulica sin comprometer los otros usos, como el riego, abastecimiento y de forma muy especial la regulación de las inundaciones.</w:t>
      </w:r>
    </w:p>
    <w:p>
      <w:pPr>
        <w:pStyle w:val="ListParagraph"/>
        <w:numPr>
          <w:ilvl w:val="0"/>
          <w:numId w:val="59"/>
        </w:numPr>
        <w:tabs>
          <w:tab w:pos="960" w:val="left" w:leader="none"/>
        </w:tabs>
        <w:spacing w:line="240" w:lineRule="auto" w:before="118" w:after="0"/>
        <w:ind w:left="959" w:right="1054" w:hanging="360"/>
        <w:jc w:val="both"/>
        <w:rPr>
          <w:sz w:val="22"/>
        </w:rPr>
      </w:pPr>
      <w:r>
        <w:rPr>
          <w:sz w:val="22"/>
        </w:rPr>
        <w:t>Se han de realizar estudios encaminados a la elaboración de una cartografía de riesgos ambientales (geológicos, hidrológicos, áreas de exclusión eólica) de cara a minimizar los impactos ambientales negativos por mala ubicación de los proyectos de generación energética.</w:t>
      </w:r>
    </w:p>
    <w:p>
      <w:pPr>
        <w:pStyle w:val="BodyText"/>
        <w:rPr>
          <w:sz w:val="26"/>
        </w:rPr>
      </w:pPr>
    </w:p>
    <w:p>
      <w:pPr>
        <w:pStyle w:val="BodyText"/>
        <w:spacing w:before="11"/>
        <w:rPr>
          <w:sz w:val="29"/>
        </w:rPr>
      </w:pPr>
    </w:p>
    <w:p>
      <w:pPr>
        <w:pStyle w:val="Heading2"/>
        <w:numPr>
          <w:ilvl w:val="1"/>
          <w:numId w:val="58"/>
        </w:numPr>
        <w:tabs>
          <w:tab w:pos="1307" w:val="left" w:leader="none"/>
          <w:tab w:pos="1309" w:val="left" w:leader="none"/>
          <w:tab w:pos="1855" w:val="left" w:leader="none"/>
          <w:tab w:pos="3304" w:val="left" w:leader="none"/>
          <w:tab w:pos="3899" w:val="left" w:leader="none"/>
          <w:tab w:pos="5545" w:val="left" w:leader="none"/>
          <w:tab w:pos="7060" w:val="left" w:leader="none"/>
          <w:tab w:pos="8596" w:val="left" w:leader="none"/>
        </w:tabs>
        <w:spacing w:line="240" w:lineRule="auto" w:before="1" w:after="0"/>
        <w:ind w:left="959" w:right="1059" w:hanging="720"/>
        <w:jc w:val="left"/>
      </w:pPr>
      <w:bookmarkStart w:name="_TOC_250015" w:id="84"/>
      <w:r>
        <w:rPr>
          <w:b w:val="0"/>
        </w:rPr>
        <w:tab/>
      </w:r>
      <w:r>
        <w:rPr/>
        <w:t>EL</w:t>
        <w:tab/>
        <w:t>MODELO</w:t>
        <w:tab/>
        <w:t>DE</w:t>
        <w:tab/>
        <w:t>ANÁLISIS</w:t>
        <w:tab/>
        <w:t>SISTEMA</w:t>
        <w:tab/>
        <w:t>ENERGÍA</w:t>
        <w:tab/>
      </w:r>
      <w:r>
        <w:rPr>
          <w:spacing w:val="-4"/>
        </w:rPr>
        <w:t>MEDIO </w:t>
      </w:r>
      <w:bookmarkEnd w:id="84"/>
      <w:r>
        <w:rPr/>
        <w:t>AMBIENTE</w:t>
      </w:r>
    </w:p>
    <w:p>
      <w:pPr>
        <w:pStyle w:val="BodyText"/>
        <w:rPr>
          <w:rFonts w:ascii="Verdana"/>
          <w:b/>
          <w:sz w:val="25"/>
        </w:rPr>
      </w:pPr>
    </w:p>
    <w:p>
      <w:pPr>
        <w:pStyle w:val="BodyText"/>
        <w:ind w:left="239" w:right="1054"/>
        <w:jc w:val="both"/>
      </w:pPr>
      <w:r>
        <w:rPr/>
        <w:t>El modelo de sistema o mapa construido para la evaluación de las opciones de política es el mapa del sistema ambiental energético de la planificación energética de la República Dominicana (tal como se ha denominado SMAE)</w:t>
      </w:r>
      <w:r>
        <w:rPr>
          <w:vertAlign w:val="superscript"/>
        </w:rPr>
        <w:t>24</w:t>
      </w:r>
      <w:r>
        <w:rPr>
          <w:vertAlign w:val="baseline"/>
        </w:rPr>
        <w:t>. El sistema SMAE ha quedado constituido a partir de un conjunto de cuatro tipos de elementos:</w:t>
      </w:r>
    </w:p>
    <w:p>
      <w:pPr>
        <w:pStyle w:val="ListParagraph"/>
        <w:numPr>
          <w:ilvl w:val="2"/>
          <w:numId w:val="58"/>
        </w:numPr>
        <w:tabs>
          <w:tab w:pos="960" w:val="left" w:leader="none"/>
        </w:tabs>
        <w:spacing w:line="240" w:lineRule="auto" w:before="121" w:after="0"/>
        <w:ind w:left="959" w:right="1054" w:hanging="360"/>
        <w:jc w:val="both"/>
        <w:rPr>
          <w:sz w:val="22"/>
        </w:rPr>
      </w:pPr>
      <w:r>
        <w:rPr>
          <w:sz w:val="22"/>
        </w:rPr>
        <w:t>Los elementos institucionales (I): son los aspectos institucionales que condicionan la planificación y la orientan.</w:t>
      </w:r>
    </w:p>
    <w:p>
      <w:pPr>
        <w:pStyle w:val="BodyText"/>
        <w:spacing w:before="3"/>
        <w:rPr>
          <w:sz w:val="26"/>
        </w:rPr>
      </w:pPr>
      <w:r>
        <w:rPr/>
        <w:pict>
          <v:rect style="position:absolute;margin-left:72pt;margin-top:17.823366pt;width:143.999997pt;height:.72pt;mso-position-horizontal-relative:page;mso-position-vertical-relative:paragraph;z-index:-15666176;mso-wrap-distance-left:0;mso-wrap-distance-right:0" filled="true" fillcolor="#000000" stroked="false">
            <v:fill type="solid"/>
            <w10:wrap type="topAndBottom"/>
          </v:rect>
        </w:pict>
      </w:r>
    </w:p>
    <w:p>
      <w:pPr>
        <w:spacing w:before="91"/>
        <w:ind w:left="239" w:right="1056" w:firstLine="0"/>
        <w:jc w:val="both"/>
        <w:rPr>
          <w:rFonts w:ascii="Verdana" w:hAnsi="Verdana"/>
          <w:sz w:val="20"/>
        </w:rPr>
      </w:pPr>
      <w:r>
        <w:rPr>
          <w:rFonts w:ascii="Verdana" w:hAnsi="Verdana"/>
          <w:sz w:val="20"/>
          <w:vertAlign w:val="superscript"/>
        </w:rPr>
        <w:t>24</w:t>
      </w:r>
      <w:r>
        <w:rPr>
          <w:rFonts w:ascii="Verdana" w:hAnsi="Verdana"/>
          <w:sz w:val="20"/>
          <w:vertAlign w:val="baseline"/>
        </w:rPr>
        <w:t> El modelo SMAE para república Dominicana fue desarrollado por TAU Consultor  Ambiental, dentro del estudio </w:t>
      </w:r>
      <w:r>
        <w:rPr>
          <w:rFonts w:ascii="Verdana" w:hAnsi="Verdana"/>
          <w:b/>
          <w:i/>
          <w:sz w:val="20"/>
          <w:vertAlign w:val="baseline"/>
        </w:rPr>
        <w:t>Evaluación Ambiental Estratégica (EAE) del Plan </w:t>
      </w:r>
      <w:r>
        <w:rPr>
          <w:rFonts w:ascii="Verdana" w:hAnsi="Verdana"/>
          <w:b/>
          <w:i/>
          <w:sz w:val="20"/>
          <w:vertAlign w:val="baseline"/>
        </w:rPr>
        <w:t>Energético Nacional (PEN) 2010-2025 de la República Dominicana</w:t>
      </w:r>
      <w:r>
        <w:rPr>
          <w:rFonts w:ascii="Verdana" w:hAnsi="Verdana"/>
          <w:sz w:val="20"/>
          <w:vertAlign w:val="baseline"/>
        </w:rPr>
        <w:t>, Enero</w:t>
      </w:r>
      <w:r>
        <w:rPr>
          <w:rFonts w:ascii="Verdana" w:hAnsi="Verdana"/>
          <w:spacing w:val="-19"/>
          <w:sz w:val="20"/>
          <w:vertAlign w:val="baseline"/>
        </w:rPr>
        <w:t> </w:t>
      </w:r>
      <w:r>
        <w:rPr>
          <w:rFonts w:ascii="Verdana" w:hAnsi="Verdana"/>
          <w:sz w:val="20"/>
          <w:vertAlign w:val="baseline"/>
        </w:rPr>
        <w:t>2010.</w:t>
      </w:r>
    </w:p>
    <w:p>
      <w:pPr>
        <w:spacing w:after="0"/>
        <w:jc w:val="both"/>
        <w:rPr>
          <w:rFonts w:ascii="Verdana" w:hAnsi="Verdana"/>
          <w:sz w:val="20"/>
        </w:rPr>
        <w:sectPr>
          <w:pgSz w:w="12240" w:h="15840"/>
          <w:pgMar w:header="718" w:footer="954" w:top="1360" w:bottom="1140" w:left="1200" w:right="380"/>
        </w:sectPr>
      </w:pPr>
    </w:p>
    <w:p>
      <w:pPr>
        <w:pStyle w:val="BodyText"/>
        <w:spacing w:before="3"/>
        <w:rPr>
          <w:rFonts w:ascii="Verdana"/>
          <w:sz w:val="11"/>
        </w:rPr>
      </w:pPr>
    </w:p>
    <w:p>
      <w:pPr>
        <w:pStyle w:val="ListParagraph"/>
        <w:numPr>
          <w:ilvl w:val="2"/>
          <w:numId w:val="58"/>
        </w:numPr>
        <w:tabs>
          <w:tab w:pos="960" w:val="left" w:leader="none"/>
        </w:tabs>
        <w:spacing w:line="240" w:lineRule="auto" w:before="101" w:after="0"/>
        <w:ind w:left="959" w:right="1057" w:hanging="360"/>
        <w:jc w:val="both"/>
        <w:rPr>
          <w:sz w:val="22"/>
        </w:rPr>
      </w:pPr>
      <w:r>
        <w:rPr>
          <w:sz w:val="22"/>
        </w:rPr>
        <w:t>Los instrumentos de la planificación energética a disposición del PEN (P): Instrumentos con un perfil ambiental relevante por su influencia ambiental positiva o negativa en el SMAE.</w:t>
      </w:r>
    </w:p>
    <w:p>
      <w:pPr>
        <w:pStyle w:val="ListParagraph"/>
        <w:numPr>
          <w:ilvl w:val="2"/>
          <w:numId w:val="58"/>
        </w:numPr>
        <w:tabs>
          <w:tab w:pos="960" w:val="left" w:leader="none"/>
        </w:tabs>
        <w:spacing w:line="240" w:lineRule="auto" w:before="120" w:after="0"/>
        <w:ind w:left="959" w:right="1054" w:hanging="360"/>
        <w:jc w:val="both"/>
        <w:rPr>
          <w:sz w:val="22"/>
        </w:rPr>
      </w:pPr>
      <w:r>
        <w:rPr>
          <w:sz w:val="22"/>
        </w:rPr>
        <w:t>Los elementos del sistema energético: tienen una posible incidencia ambiental en el SMAE</w:t>
      </w:r>
      <w:r>
        <w:rPr>
          <w:spacing w:val="1"/>
          <w:sz w:val="22"/>
        </w:rPr>
        <w:t> </w:t>
      </w:r>
      <w:r>
        <w:rPr>
          <w:sz w:val="22"/>
        </w:rPr>
        <w:t>(S).</w:t>
      </w:r>
    </w:p>
    <w:p>
      <w:pPr>
        <w:pStyle w:val="ListParagraph"/>
        <w:numPr>
          <w:ilvl w:val="2"/>
          <w:numId w:val="58"/>
        </w:numPr>
        <w:tabs>
          <w:tab w:pos="960" w:val="left" w:leader="none"/>
        </w:tabs>
        <w:spacing w:line="242" w:lineRule="auto" w:before="143" w:after="0"/>
        <w:ind w:left="960" w:right="1055" w:hanging="361"/>
        <w:jc w:val="both"/>
        <w:rPr>
          <w:sz w:val="22"/>
        </w:rPr>
      </w:pPr>
      <w:r>
        <w:rPr>
          <w:sz w:val="22"/>
        </w:rPr>
        <w:t>Las afecciones ambientales generadas por las actividades de la energía</w:t>
      </w:r>
      <w:r>
        <w:rPr>
          <w:rFonts w:ascii="Verdana" w:hAnsi="Verdana"/>
          <w:sz w:val="22"/>
          <w:vertAlign w:val="superscript"/>
        </w:rPr>
        <w:t>25</w:t>
      </w:r>
      <w:r>
        <w:rPr>
          <w:rFonts w:ascii="Verdana" w:hAnsi="Verdana"/>
          <w:sz w:val="22"/>
          <w:vertAlign w:val="baseline"/>
        </w:rPr>
        <w:t> </w:t>
      </w:r>
      <w:r>
        <w:rPr>
          <w:sz w:val="22"/>
          <w:vertAlign w:val="baseline"/>
        </w:rPr>
        <w:t>(A): efectos ambientales relevantes a la escala de modelización.</w:t>
      </w:r>
    </w:p>
    <w:p>
      <w:pPr>
        <w:pStyle w:val="BodyText"/>
        <w:spacing w:before="9"/>
        <w:rPr>
          <w:sz w:val="32"/>
        </w:rPr>
      </w:pPr>
    </w:p>
    <w:p>
      <w:pPr>
        <w:pStyle w:val="BodyText"/>
        <w:ind w:left="240" w:right="1054" w:hanging="1"/>
        <w:jc w:val="both"/>
        <w:rPr>
          <w:sz w:val="24"/>
        </w:rPr>
      </w:pPr>
      <w:r>
        <w:rPr/>
        <w:t>A partir de un listado de temas clave se identifican las relaciones de influencia o dependencia que se establecen entre dichos elementos. El modelo SMAE desarrollado de esta forma facilita una perspectiva global del sistema y, por lo tanto, del problema de la política energética y ambiental estratégica a la que se enfrenta el PEN</w:t>
      </w:r>
      <w:r>
        <w:rPr>
          <w:vertAlign w:val="superscript"/>
        </w:rPr>
        <w:t>26</w:t>
      </w:r>
      <w:r>
        <w:rPr>
          <w:sz w:val="24"/>
          <w:vertAlign w:val="baseline"/>
        </w:rPr>
        <w:t>.</w:t>
      </w:r>
    </w:p>
    <w:p>
      <w:pPr>
        <w:pStyle w:val="BodyText"/>
        <w:spacing w:before="11"/>
      </w:pPr>
    </w:p>
    <w:p>
      <w:pPr>
        <w:pStyle w:val="BodyText"/>
        <w:spacing w:before="1"/>
        <w:ind w:left="240" w:right="1055"/>
        <w:jc w:val="both"/>
      </w:pPr>
      <w:r>
        <w:rPr/>
        <w:t>Las relaciones que se establecen entre los instrumentos de la planificación energética, los elementos del sistema energético y los efectos ambientales que generan en el </w:t>
      </w:r>
      <w:r>
        <w:rPr>
          <w:sz w:val="24"/>
        </w:rPr>
        <w:t>sistema </w:t>
      </w:r>
      <w:r>
        <w:rPr/>
        <w:t>energía medio ambiente son complejas e indirectas, de tal forma que los efectos ambientales asociados no son fácilmente previsibles. El mapa SMAE permite explicar mejor estas relaciones entre elementos del sistema energía y medio ambiente ya que facilita su sistematización. Permite asimismo valorar la capacidad potencial de un elemento del sistema sobre el resto de los elementos del</w:t>
      </w:r>
      <w:r>
        <w:rPr>
          <w:spacing w:val="-4"/>
        </w:rPr>
        <w:t> </w:t>
      </w:r>
      <w:r>
        <w:rPr/>
        <w:t>sistema.</w:t>
      </w:r>
    </w:p>
    <w:p>
      <w:pPr>
        <w:pStyle w:val="BodyText"/>
        <w:spacing w:before="5"/>
      </w:pPr>
    </w:p>
    <w:p>
      <w:pPr>
        <w:spacing w:line="232" w:lineRule="auto" w:before="0"/>
        <w:ind w:left="240" w:right="1059" w:firstLine="0"/>
        <w:jc w:val="both"/>
        <w:rPr>
          <w:sz w:val="23"/>
        </w:rPr>
      </w:pPr>
      <w:r>
        <w:rPr>
          <w:sz w:val="23"/>
        </w:rPr>
        <w:t>Para efectos de definir líneas estratégicas ambientales dentro del PEN se requiere establecer</w:t>
      </w:r>
      <w:r>
        <w:rPr>
          <w:spacing w:val="-11"/>
          <w:sz w:val="23"/>
        </w:rPr>
        <w:t> </w:t>
      </w:r>
      <w:r>
        <w:rPr>
          <w:sz w:val="23"/>
        </w:rPr>
        <w:t>los</w:t>
      </w:r>
      <w:r>
        <w:rPr>
          <w:spacing w:val="-12"/>
          <w:sz w:val="23"/>
        </w:rPr>
        <w:t> </w:t>
      </w:r>
      <w:r>
        <w:rPr>
          <w:i/>
          <w:sz w:val="24"/>
        </w:rPr>
        <w:t>Efectos</w:t>
      </w:r>
      <w:r>
        <w:rPr>
          <w:i/>
          <w:spacing w:val="-14"/>
          <w:sz w:val="24"/>
        </w:rPr>
        <w:t> </w:t>
      </w:r>
      <w:r>
        <w:rPr>
          <w:i/>
          <w:sz w:val="24"/>
        </w:rPr>
        <w:t>Ambientales</w:t>
      </w:r>
      <w:r>
        <w:rPr>
          <w:i/>
          <w:spacing w:val="-14"/>
          <w:sz w:val="24"/>
        </w:rPr>
        <w:t> </w:t>
      </w:r>
      <w:r>
        <w:rPr>
          <w:sz w:val="23"/>
        </w:rPr>
        <w:t>de</w:t>
      </w:r>
      <w:r>
        <w:rPr>
          <w:spacing w:val="-10"/>
          <w:sz w:val="23"/>
        </w:rPr>
        <w:t> </w:t>
      </w:r>
      <w:r>
        <w:rPr>
          <w:sz w:val="23"/>
        </w:rPr>
        <w:t>las</w:t>
      </w:r>
      <w:r>
        <w:rPr>
          <w:spacing w:val="-11"/>
          <w:sz w:val="23"/>
        </w:rPr>
        <w:t> </w:t>
      </w:r>
      <w:r>
        <w:rPr>
          <w:sz w:val="23"/>
        </w:rPr>
        <w:t>decisiones</w:t>
      </w:r>
      <w:r>
        <w:rPr>
          <w:spacing w:val="-11"/>
          <w:sz w:val="23"/>
        </w:rPr>
        <w:t> </w:t>
      </w:r>
      <w:r>
        <w:rPr>
          <w:sz w:val="23"/>
        </w:rPr>
        <w:t>de</w:t>
      </w:r>
      <w:r>
        <w:rPr>
          <w:spacing w:val="-10"/>
          <w:sz w:val="23"/>
        </w:rPr>
        <w:t> </w:t>
      </w:r>
      <w:r>
        <w:rPr>
          <w:sz w:val="23"/>
        </w:rPr>
        <w:t>planificación</w:t>
      </w:r>
      <w:r>
        <w:rPr>
          <w:spacing w:val="-10"/>
          <w:sz w:val="23"/>
        </w:rPr>
        <w:t> </w:t>
      </w:r>
      <w:r>
        <w:rPr>
          <w:sz w:val="23"/>
        </w:rPr>
        <w:t>(</w:t>
      </w:r>
      <w:r>
        <w:rPr>
          <w:i/>
          <w:sz w:val="24"/>
        </w:rPr>
        <w:t>Fuerzas</w:t>
      </w:r>
      <w:r>
        <w:rPr>
          <w:i/>
          <w:spacing w:val="-14"/>
          <w:sz w:val="24"/>
        </w:rPr>
        <w:t> </w:t>
      </w:r>
      <w:r>
        <w:rPr>
          <w:i/>
          <w:sz w:val="24"/>
        </w:rPr>
        <w:t>Motrices</w:t>
      </w:r>
      <w:r>
        <w:rPr>
          <w:sz w:val="23"/>
        </w:rPr>
        <w:t>)</w:t>
      </w:r>
    </w:p>
    <w:p>
      <w:pPr>
        <w:pStyle w:val="BodyText"/>
        <w:spacing w:before="5"/>
      </w:pPr>
    </w:p>
    <w:p>
      <w:pPr>
        <w:pStyle w:val="Heading3"/>
        <w:ind w:left="948"/>
        <w:rPr>
          <w:i/>
        </w:rPr>
      </w:pPr>
      <w:bookmarkStart w:name="_TOC_250014" w:id="85"/>
      <w:bookmarkEnd w:id="85"/>
      <w:r>
        <w:rPr>
          <w:i/>
          <w:w w:val="110"/>
        </w:rPr>
        <w:t>Los efectos ambientales</w:t>
      </w:r>
    </w:p>
    <w:p>
      <w:pPr>
        <w:pStyle w:val="BodyText"/>
        <w:spacing w:before="2"/>
        <w:rPr>
          <w:rFonts w:ascii="Times New Roman"/>
          <w:b/>
          <w:i/>
          <w:sz w:val="25"/>
        </w:rPr>
      </w:pPr>
    </w:p>
    <w:p>
      <w:pPr>
        <w:pStyle w:val="BodyText"/>
        <w:ind w:left="240" w:right="1054"/>
        <w:jc w:val="both"/>
      </w:pPr>
      <w:r>
        <w:rPr/>
        <w:t>Los efectos ambientales que han sido considerados son los derivados de la planificación y que han sido identificados en el modelo SMAE.</w:t>
      </w:r>
    </w:p>
    <w:p>
      <w:pPr>
        <w:pStyle w:val="BodyText"/>
        <w:rPr>
          <w:sz w:val="24"/>
        </w:rPr>
      </w:pPr>
    </w:p>
    <w:p>
      <w:pPr>
        <w:pStyle w:val="BodyText"/>
        <w:ind w:left="240"/>
        <w:jc w:val="both"/>
      </w:pPr>
      <w:r>
        <w:rPr/>
        <w:t>Los efectos ambientales identificados se han agregado en los siguientes 5 tipos:</w:t>
      </w:r>
    </w:p>
    <w:p>
      <w:pPr>
        <w:pStyle w:val="BodyText"/>
        <w:spacing w:before="1"/>
        <w:rPr>
          <w:sz w:val="34"/>
        </w:rPr>
      </w:pPr>
    </w:p>
    <w:p>
      <w:pPr>
        <w:pStyle w:val="ListParagraph"/>
        <w:numPr>
          <w:ilvl w:val="0"/>
          <w:numId w:val="60"/>
        </w:numPr>
        <w:tabs>
          <w:tab w:pos="961" w:val="left" w:leader="none"/>
        </w:tabs>
        <w:spacing w:line="240" w:lineRule="auto" w:before="0" w:after="0"/>
        <w:ind w:left="960" w:right="1055" w:hanging="360"/>
        <w:jc w:val="both"/>
        <w:rPr>
          <w:sz w:val="22"/>
        </w:rPr>
      </w:pPr>
      <w:r>
        <w:rPr>
          <w:sz w:val="22"/>
        </w:rPr>
        <w:t>EA1. Concentración de la contaminación en determinadas áreas urbanas (mala calidad del aire)</w:t>
      </w:r>
    </w:p>
    <w:p>
      <w:pPr>
        <w:pStyle w:val="BodyText"/>
        <w:spacing w:before="4"/>
        <w:rPr>
          <w:sz w:val="20"/>
        </w:rPr>
      </w:pPr>
      <w:r>
        <w:rPr/>
        <w:pict>
          <v:rect style="position:absolute;margin-left:72pt;margin-top:14.236966pt;width:143.999997pt;height:.72pt;mso-position-horizontal-relative:page;mso-position-vertical-relative:paragraph;z-index:-15665664;mso-wrap-distance-left:0;mso-wrap-distance-right:0" filled="true" fillcolor="#000000" stroked="false">
            <v:fill type="solid"/>
            <w10:wrap type="topAndBottom"/>
          </v:rect>
        </w:pict>
      </w:r>
    </w:p>
    <w:p>
      <w:pPr>
        <w:tabs>
          <w:tab w:pos="1332" w:val="left" w:leader="none"/>
          <w:tab w:pos="2673" w:val="left" w:leader="none"/>
          <w:tab w:pos="3804" w:val="left" w:leader="none"/>
          <w:tab w:pos="4195" w:val="left" w:leader="none"/>
          <w:tab w:pos="5583" w:val="left" w:leader="none"/>
          <w:tab w:pos="7032" w:val="left" w:leader="none"/>
          <w:tab w:pos="8362" w:val="left" w:leader="none"/>
        </w:tabs>
        <w:spacing w:before="91"/>
        <w:ind w:left="239" w:right="1059" w:hanging="1"/>
        <w:jc w:val="left"/>
        <w:rPr>
          <w:rFonts w:ascii="Verdana" w:hAnsi="Verdana"/>
          <w:sz w:val="20"/>
        </w:rPr>
      </w:pPr>
      <w:r>
        <w:rPr>
          <w:rFonts w:ascii="Verdana" w:hAnsi="Verdana"/>
          <w:sz w:val="20"/>
          <w:vertAlign w:val="superscript"/>
        </w:rPr>
        <w:t>25</w:t>
      </w:r>
      <w:r>
        <w:rPr>
          <w:rFonts w:ascii="Verdana" w:hAnsi="Verdana"/>
          <w:sz w:val="20"/>
          <w:vertAlign w:val="baseline"/>
        </w:rPr>
        <w:t> </w:t>
      </w:r>
      <w:r>
        <w:rPr>
          <w:rFonts w:ascii="Verdana" w:hAnsi="Verdana"/>
          <w:spacing w:val="38"/>
          <w:sz w:val="20"/>
          <w:vertAlign w:val="baseline"/>
        </w:rPr>
        <w:t> </w:t>
      </w:r>
      <w:r>
        <w:rPr>
          <w:rFonts w:ascii="Verdana" w:hAnsi="Verdana"/>
          <w:sz w:val="20"/>
          <w:vertAlign w:val="baseline"/>
        </w:rPr>
        <w:t>Estas</w:t>
        <w:tab/>
        <w:t>actividades</w:t>
        <w:tab/>
        <w:t>engloban</w:t>
        <w:tab/>
        <w:t>la</w:t>
        <w:tab/>
        <w:t>generación,</w:t>
        <w:tab/>
        <w:t>distribución,</w:t>
        <w:tab/>
        <w:t>transporte,</w:t>
        <w:tab/>
        <w:t>distribución, comercialización y disposición de</w:t>
      </w:r>
      <w:r>
        <w:rPr>
          <w:rFonts w:ascii="Verdana" w:hAnsi="Verdana"/>
          <w:spacing w:val="-5"/>
          <w:sz w:val="20"/>
          <w:vertAlign w:val="baseline"/>
        </w:rPr>
        <w:t> </w:t>
      </w:r>
      <w:r>
        <w:rPr>
          <w:rFonts w:ascii="Verdana" w:hAnsi="Verdana"/>
          <w:sz w:val="20"/>
          <w:vertAlign w:val="baseline"/>
        </w:rPr>
        <w:t>residuos.</w:t>
      </w:r>
    </w:p>
    <w:p>
      <w:pPr>
        <w:tabs>
          <w:tab w:pos="614" w:val="left" w:leader="none"/>
        </w:tabs>
        <w:spacing w:line="242" w:lineRule="exact" w:before="0"/>
        <w:ind w:left="239" w:right="0" w:firstLine="0"/>
        <w:jc w:val="left"/>
        <w:rPr>
          <w:rFonts w:ascii="Verdana" w:hAnsi="Verdana"/>
          <w:sz w:val="20"/>
        </w:rPr>
      </w:pPr>
      <w:r>
        <w:rPr>
          <w:rFonts w:ascii="Verdana" w:hAnsi="Verdana"/>
          <w:sz w:val="20"/>
          <w:vertAlign w:val="superscript"/>
        </w:rPr>
        <w:t>26</w:t>
      </w:r>
      <w:r>
        <w:rPr>
          <w:rFonts w:ascii="Verdana" w:hAnsi="Verdana"/>
          <w:sz w:val="20"/>
          <w:vertAlign w:val="baseline"/>
        </w:rPr>
        <w:tab/>
        <w:t>El modelo SMAE tiene, entre otras, dos utilidades</w:t>
      </w:r>
      <w:r>
        <w:rPr>
          <w:rFonts w:ascii="Verdana" w:hAnsi="Verdana"/>
          <w:spacing w:val="-6"/>
          <w:sz w:val="20"/>
          <w:vertAlign w:val="baseline"/>
        </w:rPr>
        <w:t> </w:t>
      </w:r>
      <w:r>
        <w:rPr>
          <w:rFonts w:ascii="Verdana" w:hAnsi="Verdana"/>
          <w:sz w:val="20"/>
          <w:vertAlign w:val="baseline"/>
        </w:rPr>
        <w:t>analíticas:</w:t>
      </w:r>
    </w:p>
    <w:p>
      <w:pPr>
        <w:pStyle w:val="ListParagraph"/>
        <w:numPr>
          <w:ilvl w:val="0"/>
          <w:numId w:val="61"/>
        </w:numPr>
        <w:tabs>
          <w:tab w:pos="960" w:val="left" w:leader="none"/>
        </w:tabs>
        <w:spacing w:line="240" w:lineRule="auto" w:before="2" w:after="0"/>
        <w:ind w:left="959" w:right="1060" w:hanging="360"/>
        <w:jc w:val="left"/>
        <w:rPr>
          <w:rFonts w:ascii="Verdana" w:hAnsi="Verdana"/>
          <w:sz w:val="20"/>
        </w:rPr>
      </w:pPr>
      <w:r>
        <w:rPr>
          <w:rFonts w:ascii="Verdana" w:hAnsi="Verdana"/>
          <w:sz w:val="20"/>
        </w:rPr>
        <w:t>Constituir un marco de referencia ambiental del PEN mediante el diagnóstico del SMAE,</w:t>
      </w:r>
    </w:p>
    <w:p>
      <w:pPr>
        <w:pStyle w:val="ListParagraph"/>
        <w:numPr>
          <w:ilvl w:val="0"/>
          <w:numId w:val="61"/>
        </w:numPr>
        <w:tabs>
          <w:tab w:pos="960" w:val="left" w:leader="none"/>
        </w:tabs>
        <w:spacing w:line="240" w:lineRule="auto" w:before="0" w:after="0"/>
        <w:ind w:left="959" w:right="1058" w:hanging="360"/>
        <w:jc w:val="both"/>
        <w:rPr>
          <w:rFonts w:ascii="Verdana" w:hAnsi="Verdana"/>
          <w:sz w:val="20"/>
        </w:rPr>
      </w:pPr>
      <w:r>
        <w:rPr>
          <w:rFonts w:ascii="Verdana" w:hAnsi="Verdana"/>
          <w:sz w:val="20"/>
        </w:rPr>
        <w:t>Constituir una herramienta para la evaluación ambiental de las alternativas que propone el</w:t>
      </w:r>
      <w:r>
        <w:rPr>
          <w:rFonts w:ascii="Verdana" w:hAnsi="Verdana"/>
          <w:spacing w:val="2"/>
          <w:sz w:val="20"/>
        </w:rPr>
        <w:t> </w:t>
      </w:r>
      <w:r>
        <w:rPr>
          <w:rFonts w:ascii="Verdana" w:hAnsi="Verdana"/>
          <w:sz w:val="20"/>
        </w:rPr>
        <w:t>PEN.</w:t>
      </w:r>
    </w:p>
    <w:p>
      <w:pPr>
        <w:spacing w:before="0"/>
        <w:ind w:left="239" w:right="1055" w:firstLine="0"/>
        <w:jc w:val="both"/>
        <w:rPr>
          <w:rFonts w:ascii="Verdana" w:hAnsi="Verdana"/>
          <w:sz w:val="20"/>
        </w:rPr>
      </w:pPr>
      <w:r>
        <w:rPr>
          <w:rFonts w:ascii="Verdana" w:hAnsi="Verdana"/>
          <w:sz w:val="20"/>
        </w:rPr>
        <w:t>El modelo SMAE es entonces el marco de referencia ambiental del PEN porque incorpora de forma inteligible todos los aspectos que explican la dimensión ambiental estratégica de la actividad energética en un marco de planificación.</w:t>
      </w:r>
    </w:p>
    <w:p>
      <w:pPr>
        <w:spacing w:after="0"/>
        <w:jc w:val="both"/>
        <w:rPr>
          <w:rFonts w:ascii="Verdana" w:hAnsi="Verdana"/>
          <w:sz w:val="20"/>
        </w:rPr>
        <w:sectPr>
          <w:pgSz w:w="12240" w:h="15840"/>
          <w:pgMar w:header="718" w:footer="954" w:top="1360" w:bottom="1140" w:left="1200" w:right="380"/>
        </w:sectPr>
      </w:pPr>
    </w:p>
    <w:p>
      <w:pPr>
        <w:pStyle w:val="BodyText"/>
        <w:spacing w:before="3"/>
        <w:rPr>
          <w:rFonts w:ascii="Verdana"/>
          <w:sz w:val="11"/>
        </w:rPr>
      </w:pPr>
    </w:p>
    <w:p>
      <w:pPr>
        <w:pStyle w:val="ListParagraph"/>
        <w:numPr>
          <w:ilvl w:val="0"/>
          <w:numId w:val="60"/>
        </w:numPr>
        <w:tabs>
          <w:tab w:pos="959" w:val="left" w:leader="none"/>
          <w:tab w:pos="960" w:val="left" w:leader="none"/>
        </w:tabs>
        <w:spacing w:line="240" w:lineRule="auto" w:before="101" w:after="0"/>
        <w:ind w:left="960" w:right="0" w:hanging="360"/>
        <w:jc w:val="left"/>
        <w:rPr>
          <w:sz w:val="22"/>
        </w:rPr>
      </w:pPr>
      <w:r>
        <w:rPr>
          <w:sz w:val="22"/>
        </w:rPr>
        <w:t>EA2. Contaminación del suelo y del</w:t>
      </w:r>
      <w:r>
        <w:rPr>
          <w:spacing w:val="-2"/>
          <w:sz w:val="22"/>
        </w:rPr>
        <w:t> </w:t>
      </w:r>
      <w:r>
        <w:rPr>
          <w:sz w:val="22"/>
        </w:rPr>
        <w:t>agua</w:t>
      </w:r>
    </w:p>
    <w:p>
      <w:pPr>
        <w:pStyle w:val="ListParagraph"/>
        <w:numPr>
          <w:ilvl w:val="0"/>
          <w:numId w:val="60"/>
        </w:numPr>
        <w:tabs>
          <w:tab w:pos="959" w:val="left" w:leader="none"/>
          <w:tab w:pos="960" w:val="left" w:leader="none"/>
        </w:tabs>
        <w:spacing w:line="240" w:lineRule="auto" w:before="121" w:after="0"/>
        <w:ind w:left="960" w:right="0" w:hanging="361"/>
        <w:jc w:val="left"/>
        <w:rPr>
          <w:sz w:val="22"/>
        </w:rPr>
      </w:pPr>
      <w:r>
        <w:rPr>
          <w:sz w:val="22"/>
        </w:rPr>
        <w:t>EA3. Emisiones</w:t>
      </w:r>
      <w:r>
        <w:rPr>
          <w:spacing w:val="-1"/>
          <w:sz w:val="22"/>
        </w:rPr>
        <w:t> </w:t>
      </w:r>
      <w:r>
        <w:rPr>
          <w:sz w:val="22"/>
        </w:rPr>
        <w:t>GEI</w:t>
      </w:r>
    </w:p>
    <w:p>
      <w:pPr>
        <w:pStyle w:val="ListParagraph"/>
        <w:numPr>
          <w:ilvl w:val="0"/>
          <w:numId w:val="60"/>
        </w:numPr>
        <w:tabs>
          <w:tab w:pos="959" w:val="left" w:leader="none"/>
          <w:tab w:pos="960" w:val="left" w:leader="none"/>
        </w:tabs>
        <w:spacing w:line="240" w:lineRule="auto" w:before="121" w:after="0"/>
        <w:ind w:left="960" w:right="0" w:hanging="361"/>
        <w:jc w:val="left"/>
        <w:rPr>
          <w:sz w:val="22"/>
        </w:rPr>
      </w:pPr>
      <w:r>
        <w:rPr>
          <w:sz w:val="22"/>
        </w:rPr>
        <w:t>EA4. Pérdida de</w:t>
      </w:r>
      <w:r>
        <w:rPr>
          <w:spacing w:val="-4"/>
          <w:sz w:val="22"/>
        </w:rPr>
        <w:t> </w:t>
      </w:r>
      <w:r>
        <w:rPr>
          <w:sz w:val="22"/>
        </w:rPr>
        <w:t>biodiversidad</w:t>
      </w:r>
    </w:p>
    <w:p>
      <w:pPr>
        <w:pStyle w:val="ListParagraph"/>
        <w:numPr>
          <w:ilvl w:val="0"/>
          <w:numId w:val="60"/>
        </w:numPr>
        <w:tabs>
          <w:tab w:pos="959" w:val="left" w:leader="none"/>
          <w:tab w:pos="960" w:val="left" w:leader="none"/>
        </w:tabs>
        <w:spacing w:line="240" w:lineRule="auto" w:before="118" w:after="0"/>
        <w:ind w:left="959" w:right="0" w:hanging="361"/>
        <w:jc w:val="left"/>
        <w:rPr>
          <w:sz w:val="22"/>
        </w:rPr>
      </w:pPr>
      <w:r>
        <w:rPr>
          <w:sz w:val="22"/>
        </w:rPr>
        <w:t>EA5. Presión sobre el bosque y deforestación</w:t>
      </w:r>
    </w:p>
    <w:p>
      <w:pPr>
        <w:pStyle w:val="BodyText"/>
        <w:spacing w:before="7"/>
        <w:rPr>
          <w:sz w:val="34"/>
        </w:rPr>
      </w:pPr>
    </w:p>
    <w:p>
      <w:pPr>
        <w:pStyle w:val="Heading3"/>
        <w:spacing w:before="1"/>
        <w:ind w:left="947"/>
        <w:rPr>
          <w:i/>
        </w:rPr>
      </w:pPr>
      <w:bookmarkStart w:name="_TOC_250013" w:id="86"/>
      <w:bookmarkEnd w:id="86"/>
      <w:r>
        <w:rPr>
          <w:i/>
          <w:w w:val="110"/>
        </w:rPr>
        <w:t>Las Fuerzas Motrices</w:t>
      </w:r>
    </w:p>
    <w:p>
      <w:pPr>
        <w:pStyle w:val="BodyText"/>
        <w:spacing w:before="11"/>
        <w:rPr>
          <w:rFonts w:ascii="Times New Roman"/>
          <w:b/>
          <w:i/>
          <w:sz w:val="24"/>
        </w:rPr>
      </w:pPr>
    </w:p>
    <w:p>
      <w:pPr>
        <w:pStyle w:val="BodyText"/>
        <w:ind w:left="240" w:right="1054"/>
        <w:jc w:val="both"/>
      </w:pPr>
      <w:r>
        <w:rPr/>
        <w:t>Las fuerzas motrices son las presiones que derivan de las decisiones de la planificación del PEN, y se corresponden con los instrumentos de planificación en el modelo SMAE. Es decir, se corresponden básicamente con los instrumentos de inversión, y con aquellos instrumentos que utiliza la planificación energética para la toma de decisiones, como son por ejemplo el sistema tarifario o el marco</w:t>
      </w:r>
      <w:r>
        <w:rPr>
          <w:spacing w:val="-11"/>
        </w:rPr>
        <w:t> </w:t>
      </w:r>
      <w:r>
        <w:rPr/>
        <w:t>regulatorio.</w:t>
      </w:r>
    </w:p>
    <w:p>
      <w:pPr>
        <w:pStyle w:val="BodyText"/>
        <w:spacing w:before="2"/>
        <w:rPr>
          <w:sz w:val="24"/>
        </w:rPr>
      </w:pPr>
    </w:p>
    <w:p>
      <w:pPr>
        <w:pStyle w:val="BodyText"/>
        <w:ind w:left="240"/>
        <w:jc w:val="both"/>
      </w:pPr>
      <w:r>
        <w:rPr/>
        <w:t>Las Fuerzas Motrices son:</w:t>
      </w:r>
    </w:p>
    <w:p>
      <w:pPr>
        <w:pStyle w:val="BodyText"/>
        <w:spacing w:before="2"/>
        <w:rPr>
          <w:sz w:val="24"/>
        </w:rPr>
      </w:pPr>
    </w:p>
    <w:p>
      <w:pPr>
        <w:spacing w:before="0"/>
        <w:ind w:left="662" w:right="3518" w:firstLine="11"/>
        <w:jc w:val="left"/>
        <w:rPr>
          <w:rFonts w:ascii="Verdana" w:hAnsi="Verdana"/>
          <w:sz w:val="20"/>
        </w:rPr>
      </w:pPr>
      <w:r>
        <w:rPr>
          <w:rFonts w:ascii="Verdana" w:hAnsi="Verdana"/>
          <w:sz w:val="20"/>
        </w:rPr>
        <w:t>Autoproducción ineficiente y basada en uso combustibles fósiles Carencia de un sistema de monitoreo</w:t>
      </w:r>
    </w:p>
    <w:p>
      <w:pPr>
        <w:spacing w:before="0"/>
        <w:ind w:left="674" w:right="1649" w:firstLine="0"/>
        <w:jc w:val="left"/>
        <w:rPr>
          <w:rFonts w:ascii="Verdana" w:hAnsi="Verdana"/>
          <w:sz w:val="20"/>
        </w:rPr>
      </w:pPr>
      <w:r>
        <w:rPr>
          <w:rFonts w:ascii="Verdana" w:hAnsi="Verdana"/>
          <w:sz w:val="20"/>
        </w:rPr>
        <w:t>Control de las inversiones del sector energético (gestión ambiental adecuada de la inversión)</w:t>
      </w:r>
    </w:p>
    <w:p>
      <w:pPr>
        <w:spacing w:before="0"/>
        <w:ind w:left="674" w:right="2436" w:firstLine="0"/>
        <w:jc w:val="left"/>
        <w:rPr>
          <w:rFonts w:ascii="Verdana" w:hAnsi="Verdana"/>
          <w:sz w:val="20"/>
        </w:rPr>
      </w:pPr>
      <w:r>
        <w:rPr>
          <w:rFonts w:ascii="Verdana" w:hAnsi="Verdana"/>
          <w:sz w:val="20"/>
        </w:rPr>
        <w:t>Falta de mecanismos de comando y control ambiental específico del sector Gestión deficiente de residuos (peligrosos)</w:t>
      </w:r>
    </w:p>
    <w:p>
      <w:pPr>
        <w:spacing w:before="1"/>
        <w:ind w:left="674" w:right="4004" w:hanging="10"/>
        <w:jc w:val="left"/>
        <w:rPr>
          <w:rFonts w:ascii="Verdana" w:hAnsi="Verdana"/>
          <w:sz w:val="20"/>
        </w:rPr>
      </w:pPr>
      <w:r>
        <w:rPr>
          <w:rFonts w:ascii="Verdana" w:hAnsi="Verdana"/>
          <w:sz w:val="20"/>
        </w:rPr>
        <w:t>Ineficiencia de directrices técnicas ambientales en el sector Inversión en cogeneración y ciclo combinado</w:t>
      </w:r>
    </w:p>
    <w:p>
      <w:pPr>
        <w:spacing w:before="0"/>
        <w:ind w:left="674" w:right="7733" w:firstLine="0"/>
        <w:jc w:val="left"/>
        <w:rPr>
          <w:rFonts w:ascii="Verdana" w:hAnsi="Verdana"/>
          <w:sz w:val="20"/>
        </w:rPr>
      </w:pPr>
      <w:r>
        <w:rPr>
          <w:rFonts w:ascii="Verdana" w:hAnsi="Verdana"/>
          <w:sz w:val="20"/>
        </w:rPr>
        <w:t>Inversión en URE Inversiones en carbón</w:t>
      </w:r>
    </w:p>
    <w:p>
      <w:pPr>
        <w:spacing w:before="0"/>
        <w:ind w:left="674" w:right="6120" w:firstLine="0"/>
        <w:jc w:val="left"/>
        <w:rPr>
          <w:rFonts w:ascii="Verdana" w:hAnsi="Verdana"/>
          <w:sz w:val="20"/>
        </w:rPr>
      </w:pPr>
      <w:r>
        <w:rPr>
          <w:rFonts w:ascii="Verdana" w:hAnsi="Verdana"/>
          <w:sz w:val="20"/>
        </w:rPr>
        <w:t>Inversiones en distribución de energía Inversiones en FER</w:t>
      </w:r>
    </w:p>
    <w:p>
      <w:pPr>
        <w:spacing w:before="0"/>
        <w:ind w:left="665" w:right="6079" w:firstLine="9"/>
        <w:jc w:val="left"/>
        <w:rPr>
          <w:rFonts w:ascii="Verdana" w:hAnsi="Verdana"/>
          <w:sz w:val="20"/>
        </w:rPr>
      </w:pPr>
      <w:r>
        <w:rPr>
          <w:rFonts w:ascii="Verdana" w:hAnsi="Verdana"/>
          <w:sz w:val="20"/>
        </w:rPr>
        <w:t>Inversiones en Gas Natural Inversiones en tecnología ambiental Inversiones en (derivados de) petróleo Marco regulatorio</w:t>
      </w:r>
      <w:r>
        <w:rPr>
          <w:rFonts w:ascii="Verdana" w:hAnsi="Verdana"/>
          <w:spacing w:val="-3"/>
          <w:sz w:val="20"/>
        </w:rPr>
        <w:t> </w:t>
      </w:r>
      <w:r>
        <w:rPr>
          <w:rFonts w:ascii="Verdana" w:hAnsi="Verdana"/>
          <w:sz w:val="20"/>
        </w:rPr>
        <w:t>adecuado</w:t>
      </w:r>
    </w:p>
    <w:p>
      <w:pPr>
        <w:spacing w:before="0"/>
        <w:ind w:left="674" w:right="4569" w:firstLine="0"/>
        <w:jc w:val="left"/>
        <w:rPr>
          <w:rFonts w:ascii="Verdana" w:hAnsi="Verdana"/>
          <w:sz w:val="20"/>
        </w:rPr>
      </w:pPr>
      <w:r>
        <w:rPr>
          <w:rFonts w:ascii="Verdana" w:hAnsi="Verdana"/>
          <w:sz w:val="20"/>
        </w:rPr>
        <w:t>Sistema tarifario de tarifas (altas y) discriminatorias Uso de combustibles fósiles altamente contaminantes Uso de FER</w:t>
      </w:r>
    </w:p>
    <w:p>
      <w:pPr>
        <w:spacing w:before="0"/>
        <w:ind w:left="674" w:right="4334" w:firstLine="0"/>
        <w:jc w:val="left"/>
        <w:rPr>
          <w:rFonts w:ascii="Verdana" w:hAnsi="Verdana"/>
          <w:sz w:val="20"/>
        </w:rPr>
      </w:pPr>
      <w:r>
        <w:rPr>
          <w:rFonts w:ascii="Verdana" w:hAnsi="Verdana"/>
          <w:sz w:val="20"/>
        </w:rPr>
        <w:t>Uso de otros combustibles fósiles menos contaminantes Uso ineficiente de leña y carbón (usos domésticos)</w:t>
      </w:r>
    </w:p>
    <w:p>
      <w:pPr>
        <w:pStyle w:val="BodyText"/>
        <w:spacing w:before="5"/>
        <w:rPr>
          <w:rFonts w:ascii="Verdana"/>
        </w:rPr>
      </w:pPr>
    </w:p>
    <w:p>
      <w:pPr>
        <w:pStyle w:val="BodyText"/>
        <w:ind w:left="240"/>
        <w:jc w:val="both"/>
      </w:pPr>
      <w:r>
        <w:rPr/>
        <w:t>La Tabla 5.1 describe la situación actual de las Fuerzas Motrices.</w:t>
      </w:r>
    </w:p>
    <w:p>
      <w:pPr>
        <w:pStyle w:val="BodyText"/>
        <w:spacing w:before="1"/>
      </w:pPr>
    </w:p>
    <w:p>
      <w:pPr>
        <w:spacing w:before="0"/>
        <w:ind w:left="1591" w:right="0" w:firstLine="0"/>
        <w:jc w:val="left"/>
        <w:rPr>
          <w:rFonts w:ascii="Verdana" w:hAnsi="Verdana"/>
          <w:b/>
          <w:sz w:val="22"/>
        </w:rPr>
      </w:pPr>
      <w:r>
        <w:rPr>
          <w:rFonts w:ascii="Verdana" w:hAnsi="Verdana"/>
          <w:b/>
          <w:sz w:val="22"/>
        </w:rPr>
        <w:t>Tabla 5.1 - Las fuerzas motrices en la situación actual</w:t>
      </w:r>
    </w:p>
    <w:tbl>
      <w:tblPr>
        <w:tblW w:w="0" w:type="auto"/>
        <w:jc w:val="left"/>
        <w:tblInd w:w="953" w:type="dxa"/>
        <w:tblBorders>
          <w:top w:val="single" w:sz="18" w:space="0" w:color="007F00"/>
          <w:left w:val="single" w:sz="18" w:space="0" w:color="007F00"/>
          <w:bottom w:val="single" w:sz="18" w:space="0" w:color="007F00"/>
          <w:right w:val="single" w:sz="18" w:space="0" w:color="007F00"/>
          <w:insideH w:val="single" w:sz="18" w:space="0" w:color="007F00"/>
          <w:insideV w:val="single" w:sz="18" w:space="0" w:color="007F00"/>
        </w:tblBorders>
        <w:tblLayout w:type="fixed"/>
        <w:tblCellMar>
          <w:top w:w="0" w:type="dxa"/>
          <w:left w:w="0" w:type="dxa"/>
          <w:bottom w:w="0" w:type="dxa"/>
          <w:right w:w="0" w:type="dxa"/>
        </w:tblCellMar>
        <w:tblLook w:val="01E0"/>
      </w:tblPr>
      <w:tblGrid>
        <w:gridCol w:w="3122"/>
        <w:gridCol w:w="4821"/>
      </w:tblGrid>
      <w:tr>
        <w:trPr>
          <w:trHeight w:val="648" w:hRule="atLeast"/>
        </w:trPr>
        <w:tc>
          <w:tcPr>
            <w:tcW w:w="3122" w:type="dxa"/>
            <w:tcBorders>
              <w:left w:val="single" w:sz="4" w:space="0" w:color="007F00"/>
              <w:bottom w:val="single" w:sz="12" w:space="0" w:color="007F00"/>
              <w:right w:val="single" w:sz="4" w:space="0" w:color="007F00"/>
            </w:tcBorders>
          </w:tcPr>
          <w:p>
            <w:pPr>
              <w:pStyle w:val="TableParagraph"/>
              <w:spacing w:before="8"/>
              <w:rPr>
                <w:rFonts w:ascii="Verdana"/>
                <w:b/>
                <w:sz w:val="17"/>
              </w:rPr>
            </w:pPr>
          </w:p>
          <w:p>
            <w:pPr>
              <w:pStyle w:val="TableParagraph"/>
              <w:ind w:left="1202" w:right="1192"/>
              <w:jc w:val="center"/>
              <w:rPr>
                <w:b/>
                <w:sz w:val="18"/>
              </w:rPr>
            </w:pPr>
            <w:r>
              <w:rPr>
                <w:b/>
                <w:sz w:val="18"/>
              </w:rPr>
              <w:t>Presión</w:t>
            </w:r>
          </w:p>
        </w:tc>
        <w:tc>
          <w:tcPr>
            <w:tcW w:w="4821" w:type="dxa"/>
            <w:tcBorders>
              <w:left w:val="single" w:sz="4" w:space="0" w:color="007F00"/>
              <w:bottom w:val="single" w:sz="12" w:space="0" w:color="007F00"/>
              <w:right w:val="single" w:sz="4" w:space="0" w:color="007F00"/>
            </w:tcBorders>
          </w:tcPr>
          <w:p>
            <w:pPr>
              <w:pStyle w:val="TableParagraph"/>
              <w:spacing w:before="8"/>
              <w:rPr>
                <w:rFonts w:ascii="Verdana"/>
                <w:b/>
                <w:sz w:val="17"/>
              </w:rPr>
            </w:pPr>
          </w:p>
          <w:p>
            <w:pPr>
              <w:pStyle w:val="TableParagraph"/>
              <w:ind w:left="1825" w:right="1815"/>
              <w:jc w:val="center"/>
              <w:rPr>
                <w:b/>
                <w:sz w:val="18"/>
              </w:rPr>
            </w:pPr>
            <w:r>
              <w:rPr>
                <w:b/>
                <w:sz w:val="18"/>
              </w:rPr>
              <w:t>Justificación</w:t>
            </w:r>
          </w:p>
        </w:tc>
      </w:tr>
    </w:tbl>
    <w:p>
      <w:pPr>
        <w:spacing w:after="0"/>
        <w:jc w:val="center"/>
        <w:rPr>
          <w:sz w:val="18"/>
        </w:rPr>
        <w:sectPr>
          <w:pgSz w:w="12240" w:h="15840"/>
          <w:pgMar w:header="718" w:footer="954" w:top="1360" w:bottom="1140" w:left="1200" w:right="380"/>
        </w:sectPr>
      </w:pPr>
    </w:p>
    <w:p>
      <w:pPr>
        <w:pStyle w:val="BodyText"/>
        <w:spacing w:before="9"/>
        <w:rPr>
          <w:rFonts w:ascii="Verdana"/>
          <w:b/>
          <w:sz w:val="19"/>
        </w:rPr>
      </w:pPr>
    </w:p>
    <w:tbl>
      <w:tblPr>
        <w:tblW w:w="0" w:type="auto"/>
        <w:jc w:val="left"/>
        <w:tblInd w:w="953" w:type="dxa"/>
        <w:tblBorders>
          <w:top w:val="single" w:sz="18" w:space="0" w:color="007F00"/>
          <w:left w:val="single" w:sz="18" w:space="0" w:color="007F00"/>
          <w:bottom w:val="single" w:sz="18" w:space="0" w:color="007F00"/>
          <w:right w:val="single" w:sz="18" w:space="0" w:color="007F00"/>
          <w:insideH w:val="single" w:sz="18" w:space="0" w:color="007F00"/>
          <w:insideV w:val="single" w:sz="18" w:space="0" w:color="007F00"/>
        </w:tblBorders>
        <w:tblLayout w:type="fixed"/>
        <w:tblCellMar>
          <w:top w:w="0" w:type="dxa"/>
          <w:left w:w="0" w:type="dxa"/>
          <w:bottom w:w="0" w:type="dxa"/>
          <w:right w:w="0" w:type="dxa"/>
        </w:tblCellMar>
        <w:tblLook w:val="01E0"/>
      </w:tblPr>
      <w:tblGrid>
        <w:gridCol w:w="3122"/>
        <w:gridCol w:w="4821"/>
      </w:tblGrid>
      <w:tr>
        <w:trPr>
          <w:trHeight w:val="648" w:hRule="atLeast"/>
        </w:trPr>
        <w:tc>
          <w:tcPr>
            <w:tcW w:w="3122" w:type="dxa"/>
            <w:tcBorders>
              <w:left w:val="single" w:sz="4" w:space="0" w:color="007F00"/>
              <w:bottom w:val="single" w:sz="12" w:space="0" w:color="007F00"/>
              <w:right w:val="single" w:sz="4" w:space="0" w:color="007F00"/>
            </w:tcBorders>
          </w:tcPr>
          <w:p>
            <w:pPr>
              <w:pStyle w:val="TableParagraph"/>
              <w:spacing w:before="10"/>
              <w:rPr>
                <w:rFonts w:ascii="Verdana"/>
                <w:b/>
                <w:sz w:val="17"/>
              </w:rPr>
            </w:pPr>
          </w:p>
          <w:p>
            <w:pPr>
              <w:pStyle w:val="TableParagraph"/>
              <w:spacing w:before="1"/>
              <w:ind w:left="1201" w:right="1192"/>
              <w:jc w:val="center"/>
              <w:rPr>
                <w:b/>
                <w:sz w:val="18"/>
              </w:rPr>
            </w:pPr>
            <w:r>
              <w:rPr>
                <w:b/>
                <w:sz w:val="18"/>
              </w:rPr>
              <w:t>Presión</w:t>
            </w:r>
          </w:p>
        </w:tc>
        <w:tc>
          <w:tcPr>
            <w:tcW w:w="4821" w:type="dxa"/>
            <w:tcBorders>
              <w:left w:val="single" w:sz="4" w:space="0" w:color="007F00"/>
              <w:bottom w:val="single" w:sz="12" w:space="0" w:color="007F00"/>
              <w:right w:val="single" w:sz="4" w:space="0" w:color="007F00"/>
            </w:tcBorders>
          </w:tcPr>
          <w:p>
            <w:pPr>
              <w:pStyle w:val="TableParagraph"/>
              <w:spacing w:before="10"/>
              <w:rPr>
                <w:rFonts w:ascii="Verdana"/>
                <w:b/>
                <w:sz w:val="17"/>
              </w:rPr>
            </w:pPr>
          </w:p>
          <w:p>
            <w:pPr>
              <w:pStyle w:val="TableParagraph"/>
              <w:spacing w:before="1"/>
              <w:ind w:left="1825" w:right="1816"/>
              <w:jc w:val="center"/>
              <w:rPr>
                <w:b/>
                <w:sz w:val="18"/>
              </w:rPr>
            </w:pPr>
            <w:r>
              <w:rPr>
                <w:b/>
                <w:sz w:val="18"/>
              </w:rPr>
              <w:t>Justificación</w:t>
            </w:r>
          </w:p>
        </w:tc>
      </w:tr>
      <w:tr>
        <w:trPr>
          <w:trHeight w:val="1319" w:hRule="atLeast"/>
        </w:trPr>
        <w:tc>
          <w:tcPr>
            <w:tcW w:w="3122" w:type="dxa"/>
            <w:tcBorders>
              <w:top w:val="single" w:sz="12" w:space="0" w:color="007F00"/>
              <w:left w:val="single" w:sz="4" w:space="0" w:color="007F00"/>
              <w:bottom w:val="single" w:sz="4" w:space="0" w:color="007F00"/>
              <w:right w:val="single" w:sz="4" w:space="0" w:color="007F00"/>
            </w:tcBorders>
          </w:tcPr>
          <w:p>
            <w:pPr>
              <w:pStyle w:val="TableParagraph"/>
              <w:ind w:left="107" w:right="122" w:hanging="1"/>
              <w:rPr>
                <w:sz w:val="18"/>
              </w:rPr>
            </w:pPr>
            <w:r>
              <w:rPr>
                <w:sz w:val="18"/>
              </w:rPr>
              <w:t>Autoproducción ineficiente y basada en uso combustibles fósiles</w:t>
            </w:r>
          </w:p>
        </w:tc>
        <w:tc>
          <w:tcPr>
            <w:tcW w:w="4821" w:type="dxa"/>
            <w:tcBorders>
              <w:top w:val="single" w:sz="12" w:space="0" w:color="007F00"/>
              <w:left w:val="single" w:sz="4" w:space="0" w:color="007F00"/>
              <w:bottom w:val="single" w:sz="4" w:space="0" w:color="007F00"/>
              <w:right w:val="single" w:sz="4" w:space="0" w:color="007F00"/>
            </w:tcBorders>
          </w:tcPr>
          <w:p>
            <w:pPr>
              <w:pStyle w:val="TableParagraph"/>
              <w:ind w:left="108" w:right="92"/>
              <w:jc w:val="both"/>
              <w:rPr>
                <w:sz w:val="18"/>
              </w:rPr>
            </w:pPr>
            <w:r>
              <w:rPr>
                <w:sz w:val="18"/>
              </w:rPr>
              <w:t>Estas plantas de emergencia suelen ser fogueadas a gasoil o gasolina. Si se estima que la mitad de los hogares y comercios del país utiliza plantas de emergencia, inversores u otros medios para mitigar los efectos de los apagones provocados por la crisis</w:t>
            </w:r>
            <w:r>
              <w:rPr>
                <w:spacing w:val="12"/>
                <w:sz w:val="18"/>
              </w:rPr>
              <w:t> </w:t>
            </w:r>
            <w:r>
              <w:rPr>
                <w:sz w:val="18"/>
              </w:rPr>
              <w:t>del</w:t>
            </w:r>
          </w:p>
          <w:p>
            <w:pPr>
              <w:pStyle w:val="TableParagraph"/>
              <w:spacing w:line="213" w:lineRule="exact"/>
              <w:ind w:left="108"/>
              <w:jc w:val="both"/>
              <w:rPr>
                <w:sz w:val="18"/>
              </w:rPr>
            </w:pPr>
            <w:r>
              <w:rPr>
                <w:sz w:val="18"/>
              </w:rPr>
              <w:t>sector eléctrico la presión es importante.</w:t>
            </w:r>
          </w:p>
        </w:tc>
      </w:tr>
      <w:tr>
        <w:trPr>
          <w:trHeight w:val="1086"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887"/>
              <w:rPr>
                <w:sz w:val="18"/>
              </w:rPr>
            </w:pPr>
            <w:r>
              <w:rPr>
                <w:sz w:val="18"/>
              </w:rPr>
              <w:t>Carencia de un sistema de monitoreo</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6"/>
              <w:jc w:val="both"/>
              <w:rPr>
                <w:sz w:val="18"/>
              </w:rPr>
            </w:pPr>
            <w:r>
              <w:rPr>
                <w:sz w:val="18"/>
              </w:rPr>
              <w:t>Falta de una base de datos con información que permita el seguimiento de las potenciales fuentes contaminantes y en consecuencia de datos estadísticos de emisiones y descargas. El sistema de monitoreo disponible es</w:t>
            </w:r>
            <w:r>
              <w:rPr>
                <w:spacing w:val="-5"/>
                <w:sz w:val="18"/>
              </w:rPr>
              <w:t> </w:t>
            </w:r>
            <w:r>
              <w:rPr>
                <w:sz w:val="18"/>
              </w:rPr>
              <w:t>limitado</w:t>
            </w:r>
          </w:p>
          <w:p>
            <w:pPr>
              <w:pStyle w:val="TableParagraph"/>
              <w:spacing w:line="196" w:lineRule="exact" w:before="2"/>
              <w:ind w:left="108"/>
              <w:jc w:val="both"/>
              <w:rPr>
                <w:sz w:val="18"/>
              </w:rPr>
            </w:pPr>
            <w:r>
              <w:rPr>
                <w:sz w:val="18"/>
              </w:rPr>
              <w:t>y disperso.</w:t>
            </w:r>
          </w:p>
        </w:tc>
      </w:tr>
      <w:tr>
        <w:trPr>
          <w:trHeight w:val="2111"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122"/>
              <w:rPr>
                <w:sz w:val="18"/>
              </w:rPr>
            </w:pPr>
            <w:r>
              <w:rPr>
                <w:sz w:val="18"/>
              </w:rPr>
              <w:t>Control de las inversiones del sector energético (gestión ambiental adecuada de la inversión)</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4"/>
              <w:jc w:val="both"/>
              <w:rPr>
                <w:sz w:val="18"/>
              </w:rPr>
            </w:pPr>
            <w:r>
              <w:rPr>
                <w:sz w:val="18"/>
              </w:rPr>
              <w:t>Por la crisis que ha caracterizado el sector durante años se han debilitado los controles ambientales dejando a los actores determinar las ubicaciones y los parámetros que identifican la inversión y siendo las acciones de control puntuales y consideradas por usuarios de los recursos como arbitrarias y discriminatorias. Además, las inversiones en el sector eléctrico deben modificarse para incorporar los estudios ambientales previos a la aprobación de la inversión.</w:t>
            </w:r>
          </w:p>
        </w:tc>
      </w:tr>
      <w:tr>
        <w:trPr>
          <w:trHeight w:val="2111"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143"/>
              <w:rPr>
                <w:sz w:val="18"/>
              </w:rPr>
            </w:pPr>
            <w:r>
              <w:rPr>
                <w:sz w:val="18"/>
              </w:rPr>
              <w:t>Falta de mecanismos de comando y control ambiental específico del sector</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4"/>
              <w:jc w:val="both"/>
              <w:rPr>
                <w:sz w:val="18"/>
              </w:rPr>
            </w:pPr>
            <w:r>
              <w:rPr>
                <w:sz w:val="18"/>
              </w:rPr>
              <w:t>Los mecanismos de comando y control ambiental son débiles y por tanto deben fortalecerse incorporando mayor personal especializado que puede movilizarse a los lugares específicos de ubicación de las instalaciones, colocar equipos de vigilancia para medir el grado de emisiones de gases y aguas residuales contaminantes en puntos específicos y en el punto de las emisiones. Este personal debe tener la autoridad de paralizar cualquier instalación que esté violando los controles</w:t>
            </w:r>
            <w:r>
              <w:rPr>
                <w:spacing w:val="-16"/>
                <w:sz w:val="18"/>
              </w:rPr>
              <w:t> </w:t>
            </w:r>
            <w:r>
              <w:rPr>
                <w:sz w:val="18"/>
              </w:rPr>
              <w:t>ambientales.</w:t>
            </w:r>
          </w:p>
        </w:tc>
      </w:tr>
      <w:tr>
        <w:trPr>
          <w:trHeight w:val="1585"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before="2"/>
              <w:ind w:left="107" w:right="602"/>
              <w:rPr>
                <w:sz w:val="18"/>
              </w:rPr>
            </w:pPr>
            <w:r>
              <w:rPr>
                <w:sz w:val="18"/>
              </w:rPr>
              <w:t>Gestión deficiente de residuos (peligrosos)</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spacing w:before="2"/>
              <w:ind w:left="108" w:right="93"/>
              <w:jc w:val="both"/>
              <w:rPr>
                <w:sz w:val="18"/>
              </w:rPr>
            </w:pPr>
            <w:r>
              <w:rPr>
                <w:sz w:val="18"/>
              </w:rPr>
              <w:t>Se observa que por falta de control muchos de los transformadores retirados de uso se encuentran depositados en lugares inadecuados para el almacenamiento sin medidas de seguridad o protección ambiental. Se conoce también que las baterías de los inversores provocan problemas de residuos peligrosos  por emisiones de plomo y otras sustancias</w:t>
            </w:r>
            <w:r>
              <w:rPr>
                <w:spacing w:val="-15"/>
                <w:sz w:val="18"/>
              </w:rPr>
              <w:t> </w:t>
            </w:r>
            <w:r>
              <w:rPr>
                <w:sz w:val="18"/>
              </w:rPr>
              <w:t>tóxicas.</w:t>
            </w:r>
          </w:p>
        </w:tc>
      </w:tr>
      <w:tr>
        <w:trPr>
          <w:trHeight w:val="2375"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279"/>
              <w:rPr>
                <w:sz w:val="18"/>
              </w:rPr>
            </w:pPr>
            <w:r>
              <w:rPr>
                <w:sz w:val="18"/>
              </w:rPr>
              <w:t>Ineficiencia de directrices técnicas ambientales en el sector</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4"/>
              <w:jc w:val="both"/>
              <w:rPr>
                <w:sz w:val="18"/>
              </w:rPr>
            </w:pPr>
            <w:r>
              <w:rPr>
                <w:sz w:val="18"/>
              </w:rPr>
              <w:t>El sector eléctrico se ha caracterizado, entre otros, por la carencia de continuidad, de reglas claras y por un manejo estatal carente de planes y cargado de clientelismo político. Esto su vez ha conducido a serias ineficiencias técnicas en el manejo ambiental del sector. La eficacia de las directrices técnicas ambientales dependerá de un reordenamiento del control estatal que proporcione el estamento personal técnico propio para restablecer políticas ambientales claras y transparentes para la sustentación del sector en el largo plazo.</w:t>
            </w:r>
          </w:p>
        </w:tc>
      </w:tr>
      <w:tr>
        <w:trPr>
          <w:trHeight w:val="791"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341"/>
              <w:rPr>
                <w:sz w:val="18"/>
              </w:rPr>
            </w:pPr>
            <w:r>
              <w:rPr>
                <w:sz w:val="18"/>
              </w:rPr>
              <w:t>Inversión en cogeneración y ciclo combinado</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5"/>
              <w:jc w:val="both"/>
              <w:rPr>
                <w:sz w:val="18"/>
              </w:rPr>
            </w:pPr>
            <w:r>
              <w:rPr>
                <w:sz w:val="18"/>
              </w:rPr>
              <w:t>El país cuenta con centrales a ciclo combinado en Andrés (La Central AES Andrés de 319 MW) fogueada a gas natural, y en Puerto Plata.</w:t>
            </w:r>
          </w:p>
        </w:tc>
      </w:tr>
      <w:tr>
        <w:trPr>
          <w:trHeight w:val="527"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482"/>
              <w:rPr>
                <w:sz w:val="18"/>
              </w:rPr>
            </w:pPr>
            <w:r>
              <w:rPr>
                <w:sz w:val="18"/>
              </w:rPr>
              <w:t>Inversión en Uso Racional de la Energía (URE)</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Pr>
                <w:sz w:val="18"/>
              </w:rPr>
            </w:pPr>
            <w:r>
              <w:rPr>
                <w:sz w:val="18"/>
              </w:rPr>
              <w:t>Las barreras por el contexto de la República Dominicana impiden el desarrollo de las medidas Uso Racional de la</w:t>
            </w:r>
          </w:p>
        </w:tc>
      </w:tr>
    </w:tbl>
    <w:p>
      <w:pPr>
        <w:spacing w:after="0"/>
        <w:rPr>
          <w:sz w:val="18"/>
        </w:rPr>
        <w:sectPr>
          <w:pgSz w:w="12240" w:h="15840"/>
          <w:pgMar w:header="718" w:footer="954" w:top="1360" w:bottom="1140" w:left="1200" w:right="380"/>
        </w:sectPr>
      </w:pPr>
    </w:p>
    <w:p>
      <w:pPr>
        <w:pStyle w:val="BodyText"/>
        <w:spacing w:before="9"/>
        <w:rPr>
          <w:rFonts w:ascii="Verdana"/>
          <w:b/>
          <w:sz w:val="19"/>
        </w:rPr>
      </w:pPr>
    </w:p>
    <w:tbl>
      <w:tblPr>
        <w:tblW w:w="0" w:type="auto"/>
        <w:jc w:val="left"/>
        <w:tblInd w:w="953" w:type="dxa"/>
        <w:tblBorders>
          <w:top w:val="single" w:sz="18" w:space="0" w:color="007F00"/>
          <w:left w:val="single" w:sz="18" w:space="0" w:color="007F00"/>
          <w:bottom w:val="single" w:sz="18" w:space="0" w:color="007F00"/>
          <w:right w:val="single" w:sz="18" w:space="0" w:color="007F00"/>
          <w:insideH w:val="single" w:sz="18" w:space="0" w:color="007F00"/>
          <w:insideV w:val="single" w:sz="18" w:space="0" w:color="007F00"/>
        </w:tblBorders>
        <w:tblLayout w:type="fixed"/>
        <w:tblCellMar>
          <w:top w:w="0" w:type="dxa"/>
          <w:left w:w="0" w:type="dxa"/>
          <w:bottom w:w="0" w:type="dxa"/>
          <w:right w:w="0" w:type="dxa"/>
        </w:tblCellMar>
        <w:tblLook w:val="01E0"/>
      </w:tblPr>
      <w:tblGrid>
        <w:gridCol w:w="3122"/>
        <w:gridCol w:w="4821"/>
      </w:tblGrid>
      <w:tr>
        <w:trPr>
          <w:trHeight w:val="648" w:hRule="atLeast"/>
        </w:trPr>
        <w:tc>
          <w:tcPr>
            <w:tcW w:w="3122" w:type="dxa"/>
            <w:tcBorders>
              <w:left w:val="single" w:sz="4" w:space="0" w:color="007F00"/>
              <w:bottom w:val="single" w:sz="12" w:space="0" w:color="007F00"/>
              <w:right w:val="single" w:sz="4" w:space="0" w:color="007F00"/>
            </w:tcBorders>
          </w:tcPr>
          <w:p>
            <w:pPr>
              <w:pStyle w:val="TableParagraph"/>
              <w:spacing w:before="10"/>
              <w:rPr>
                <w:rFonts w:ascii="Verdana"/>
                <w:b/>
                <w:sz w:val="17"/>
              </w:rPr>
            </w:pPr>
          </w:p>
          <w:p>
            <w:pPr>
              <w:pStyle w:val="TableParagraph"/>
              <w:spacing w:before="1"/>
              <w:ind w:left="1201" w:right="1192"/>
              <w:jc w:val="center"/>
              <w:rPr>
                <w:b/>
                <w:sz w:val="18"/>
              </w:rPr>
            </w:pPr>
            <w:r>
              <w:rPr>
                <w:b/>
                <w:sz w:val="18"/>
              </w:rPr>
              <w:t>Presión</w:t>
            </w:r>
          </w:p>
        </w:tc>
        <w:tc>
          <w:tcPr>
            <w:tcW w:w="4821" w:type="dxa"/>
            <w:tcBorders>
              <w:left w:val="single" w:sz="4" w:space="0" w:color="007F00"/>
              <w:bottom w:val="single" w:sz="12" w:space="0" w:color="007F00"/>
              <w:right w:val="single" w:sz="4" w:space="0" w:color="007F00"/>
            </w:tcBorders>
          </w:tcPr>
          <w:p>
            <w:pPr>
              <w:pStyle w:val="TableParagraph"/>
              <w:spacing w:before="10"/>
              <w:rPr>
                <w:rFonts w:ascii="Verdana"/>
                <w:b/>
                <w:sz w:val="17"/>
              </w:rPr>
            </w:pPr>
          </w:p>
          <w:p>
            <w:pPr>
              <w:pStyle w:val="TableParagraph"/>
              <w:spacing w:before="1"/>
              <w:ind w:left="1825" w:right="1816"/>
              <w:jc w:val="center"/>
              <w:rPr>
                <w:b/>
                <w:sz w:val="18"/>
              </w:rPr>
            </w:pPr>
            <w:r>
              <w:rPr>
                <w:b/>
                <w:sz w:val="18"/>
              </w:rPr>
              <w:t>Justificación</w:t>
            </w:r>
          </w:p>
        </w:tc>
      </w:tr>
      <w:tr>
        <w:trPr>
          <w:trHeight w:val="527" w:hRule="atLeast"/>
        </w:trPr>
        <w:tc>
          <w:tcPr>
            <w:tcW w:w="3122" w:type="dxa"/>
            <w:tcBorders>
              <w:top w:val="single" w:sz="12" w:space="0" w:color="007F00"/>
              <w:left w:val="single" w:sz="4" w:space="0" w:color="007F00"/>
              <w:bottom w:val="single" w:sz="4" w:space="0" w:color="007F00"/>
              <w:right w:val="single" w:sz="4" w:space="0" w:color="007F00"/>
            </w:tcBorders>
          </w:tcPr>
          <w:p>
            <w:pPr>
              <w:pStyle w:val="TableParagraph"/>
              <w:rPr>
                <w:rFonts w:ascii="Times New Roman"/>
                <w:sz w:val="16"/>
              </w:rPr>
            </w:pPr>
          </w:p>
        </w:tc>
        <w:tc>
          <w:tcPr>
            <w:tcW w:w="4821" w:type="dxa"/>
            <w:tcBorders>
              <w:top w:val="single" w:sz="12" w:space="0" w:color="007F00"/>
              <w:left w:val="single" w:sz="4" w:space="0" w:color="007F00"/>
              <w:bottom w:val="single" w:sz="4" w:space="0" w:color="007F00"/>
              <w:right w:val="single" w:sz="4" w:space="0" w:color="007F00"/>
            </w:tcBorders>
          </w:tcPr>
          <w:p>
            <w:pPr>
              <w:pStyle w:val="TableParagraph"/>
              <w:spacing w:line="217" w:lineRule="exact"/>
              <w:ind w:left="108"/>
              <w:rPr>
                <w:sz w:val="18"/>
              </w:rPr>
            </w:pPr>
            <w:r>
              <w:rPr>
                <w:sz w:val="18"/>
              </w:rPr>
              <w:t>Energía.</w:t>
            </w:r>
          </w:p>
        </w:tc>
      </w:tr>
      <w:tr>
        <w:trPr>
          <w:trHeight w:val="1086"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line="217" w:lineRule="exact"/>
              <w:ind w:left="107"/>
              <w:rPr>
                <w:sz w:val="18"/>
              </w:rPr>
            </w:pPr>
            <w:r>
              <w:rPr>
                <w:sz w:val="18"/>
              </w:rPr>
              <w:t>Inversiones en carbón</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5"/>
              <w:jc w:val="both"/>
              <w:rPr>
                <w:sz w:val="18"/>
              </w:rPr>
            </w:pPr>
            <w:r>
              <w:rPr>
                <w:sz w:val="18"/>
              </w:rPr>
              <w:t>Tres plantas a carbón existen en el parque de generación del país, totalizando 313 MW instalado lo que significa un 10% del total. Estas plantas generaron 828 millones kWh durante el año 2008, lo que representa un aporte del 7%</w:t>
            </w:r>
          </w:p>
          <w:p>
            <w:pPr>
              <w:pStyle w:val="TableParagraph"/>
              <w:spacing w:line="196" w:lineRule="exact" w:before="2"/>
              <w:ind w:left="108"/>
              <w:jc w:val="both"/>
              <w:rPr>
                <w:sz w:val="18"/>
              </w:rPr>
            </w:pPr>
            <w:r>
              <w:rPr>
                <w:sz w:val="18"/>
              </w:rPr>
              <w:t>del total.</w:t>
            </w:r>
          </w:p>
        </w:tc>
      </w:tr>
      <w:tr>
        <w:trPr>
          <w:trHeight w:val="868"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606"/>
              <w:rPr>
                <w:sz w:val="18"/>
              </w:rPr>
            </w:pPr>
            <w:r>
              <w:rPr>
                <w:sz w:val="18"/>
              </w:rPr>
              <w:t>Inversiones en distribución de energía</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5"/>
              <w:jc w:val="both"/>
              <w:rPr>
                <w:sz w:val="18"/>
              </w:rPr>
            </w:pPr>
            <w:r>
              <w:rPr>
                <w:sz w:val="18"/>
              </w:rPr>
              <w:t>Se deben hacer las acotaciones en si las inversiones relativas a la distribución de energía se deben corresponder con el interés de eficiente su despacho y</w:t>
            </w:r>
          </w:p>
          <w:p>
            <w:pPr>
              <w:pStyle w:val="TableParagraph"/>
              <w:spacing w:line="196" w:lineRule="exact"/>
              <w:ind w:left="108"/>
              <w:rPr>
                <w:sz w:val="18"/>
              </w:rPr>
            </w:pPr>
            <w:r>
              <w:rPr>
                <w:sz w:val="18"/>
              </w:rPr>
              <w:t>llegada.</w:t>
            </w:r>
          </w:p>
        </w:tc>
      </w:tr>
      <w:tr>
        <w:trPr>
          <w:trHeight w:val="2113"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before="2"/>
              <w:ind w:left="107" w:right="239"/>
              <w:rPr>
                <w:sz w:val="18"/>
              </w:rPr>
            </w:pPr>
            <w:r>
              <w:rPr>
                <w:sz w:val="18"/>
              </w:rPr>
              <w:t>Inversiones en Fuentes de Energía Renovables (FER)</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spacing w:before="2"/>
              <w:ind w:left="108" w:right="95"/>
              <w:jc w:val="both"/>
              <w:rPr>
                <w:sz w:val="18"/>
              </w:rPr>
            </w:pPr>
            <w:r>
              <w:rPr>
                <w:sz w:val="18"/>
              </w:rPr>
              <w:t>La participación de las FER se anticipa que será muy importante en los próximos años, en vista de la positiva recepción que están recibiendo las energías renovables, tanto en el ámbito local como en el internacional. Recién se han anunciado proyectos que incluyen 2 parques eólicos para 200 MW en adición a 700 MW que ya han sido concesionados o aprobados. También, se anticipa un proyecto solar con una capacidad de 100 MW a colocarse en el parque cibernético.</w:t>
            </w:r>
          </w:p>
        </w:tc>
      </w:tr>
      <w:tr>
        <w:trPr>
          <w:trHeight w:val="2375"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line="217" w:lineRule="exact"/>
              <w:ind w:left="107"/>
              <w:rPr>
                <w:sz w:val="18"/>
              </w:rPr>
            </w:pPr>
            <w:r>
              <w:rPr>
                <w:sz w:val="18"/>
              </w:rPr>
              <w:t>Inversiones en Gas Natural</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3"/>
              <w:jc w:val="both"/>
              <w:rPr>
                <w:sz w:val="18"/>
              </w:rPr>
            </w:pPr>
            <w:r>
              <w:rPr>
                <w:sz w:val="18"/>
              </w:rPr>
              <w:t>El gas natural participa en la oferta del sector eléctrico en un 17.6% con tres centrales que totalizan 555 MW. Esta participación se incrementara hasta un 27% con la entrada en operación de la Central Cogentrix e San Pedro de Macorís con una capacidad de 300 MW, que está pendiente de la terminación de un gasoducto para el suministro del gas natural. El uso de este combustible amigable al ambiente, está en crecimiento en el país y recientemente se instaló una estación de servicio con una inversión estimada en RD$500millones.</w:t>
            </w:r>
          </w:p>
        </w:tc>
      </w:tr>
      <w:tr>
        <w:trPr>
          <w:trHeight w:val="1319"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line="217" w:lineRule="exact"/>
              <w:ind w:left="107"/>
              <w:rPr>
                <w:sz w:val="18"/>
              </w:rPr>
            </w:pPr>
            <w:r>
              <w:rPr>
                <w:sz w:val="18"/>
              </w:rPr>
              <w:t>Inversiones en tecnología ambiental</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5"/>
              <w:jc w:val="both"/>
              <w:rPr>
                <w:sz w:val="18"/>
              </w:rPr>
            </w:pPr>
            <w:r>
              <w:rPr>
                <w:sz w:val="18"/>
              </w:rPr>
              <w:t>El Estado, motivado por su afán de resolver la problemática del sector, ha debilitado su papel regulador dejando el control medioambiental a la consideración de una mera declaración, en el sentido que se cumplirá con los requerimientos del Banco Mundial u otra institución</w:t>
            </w:r>
          </w:p>
          <w:p>
            <w:pPr>
              <w:pStyle w:val="TableParagraph"/>
              <w:spacing w:line="214" w:lineRule="exact"/>
              <w:ind w:left="108"/>
              <w:rPr>
                <w:sz w:val="18"/>
              </w:rPr>
            </w:pPr>
            <w:r>
              <w:rPr>
                <w:sz w:val="18"/>
              </w:rPr>
              <w:t>internacional.</w:t>
            </w:r>
          </w:p>
        </w:tc>
      </w:tr>
      <w:tr>
        <w:trPr>
          <w:trHeight w:val="1319"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616"/>
              <w:rPr>
                <w:sz w:val="18"/>
              </w:rPr>
            </w:pPr>
            <w:r>
              <w:rPr>
                <w:sz w:val="18"/>
              </w:rPr>
              <w:t>Inversiones en (derivados de) petróleo</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5"/>
              <w:jc w:val="both"/>
              <w:rPr>
                <w:sz w:val="18"/>
              </w:rPr>
            </w:pPr>
            <w:r>
              <w:rPr>
                <w:sz w:val="18"/>
              </w:rPr>
              <w:t>Las importaciones de fueloil y gasoil para generación eléctrica se han estado reduciendo en la medida que otros combustibles más amigables al ambiente y precios más bajos la sustituyen. Sin embargo, los derivados de petróleo todavía representan 47% del total en</w:t>
            </w:r>
            <w:r>
              <w:rPr>
                <w:spacing w:val="-15"/>
                <w:sz w:val="18"/>
              </w:rPr>
              <w:t> </w:t>
            </w:r>
            <w:r>
              <w:rPr>
                <w:sz w:val="18"/>
              </w:rPr>
              <w:t>2005.</w:t>
            </w:r>
          </w:p>
        </w:tc>
      </w:tr>
      <w:tr>
        <w:trPr>
          <w:trHeight w:val="791"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line="217" w:lineRule="exact"/>
              <w:ind w:left="107"/>
              <w:rPr>
                <w:sz w:val="18"/>
              </w:rPr>
            </w:pPr>
            <w:r>
              <w:rPr>
                <w:sz w:val="18"/>
              </w:rPr>
              <w:t>Marco regulatorio adecuado</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5"/>
              <w:jc w:val="both"/>
              <w:rPr>
                <w:sz w:val="18"/>
              </w:rPr>
            </w:pPr>
            <w:r>
              <w:rPr>
                <w:sz w:val="18"/>
              </w:rPr>
              <w:t>El marco regulatorio de la ley eléctrica es adecuado, sólo su aplicación se ha visto rezagada en vista de la crisis de sostenibilidad financiera que ha caracterizado el sector.</w:t>
            </w:r>
          </w:p>
        </w:tc>
      </w:tr>
      <w:tr>
        <w:trPr>
          <w:trHeight w:val="870"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181"/>
              <w:rPr>
                <w:sz w:val="18"/>
              </w:rPr>
            </w:pPr>
            <w:r>
              <w:rPr>
                <w:sz w:val="18"/>
              </w:rPr>
              <w:t>Sistema tarifario de tarifas (altas y) discriminatorias</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5"/>
              <w:jc w:val="both"/>
              <w:rPr>
                <w:sz w:val="18"/>
              </w:rPr>
            </w:pPr>
            <w:r>
              <w:rPr>
                <w:sz w:val="18"/>
              </w:rPr>
              <w:t>Las tarifas eléctricas del país han sido diseñadas con un sentido paternalista del Estado para penalizar los consumidores de mediano y altos ingresos y favorecer a</w:t>
            </w:r>
          </w:p>
          <w:p>
            <w:pPr>
              <w:pStyle w:val="TableParagraph"/>
              <w:spacing w:line="198" w:lineRule="exact"/>
              <w:ind w:left="108"/>
              <w:jc w:val="both"/>
              <w:rPr>
                <w:sz w:val="18"/>
              </w:rPr>
            </w:pPr>
            <w:r>
              <w:rPr>
                <w:sz w:val="18"/>
              </w:rPr>
              <w:t>los consumidores pobres.</w:t>
            </w:r>
          </w:p>
        </w:tc>
      </w:tr>
    </w:tbl>
    <w:p>
      <w:pPr>
        <w:spacing w:after="0" w:line="198" w:lineRule="exact"/>
        <w:jc w:val="both"/>
        <w:rPr>
          <w:sz w:val="18"/>
        </w:rPr>
        <w:sectPr>
          <w:pgSz w:w="12240" w:h="15840"/>
          <w:pgMar w:header="718" w:footer="954" w:top="1360" w:bottom="1140" w:left="1200" w:right="380"/>
        </w:sectPr>
      </w:pPr>
    </w:p>
    <w:p>
      <w:pPr>
        <w:pStyle w:val="BodyText"/>
        <w:spacing w:before="9"/>
        <w:rPr>
          <w:rFonts w:ascii="Verdana"/>
          <w:b/>
          <w:sz w:val="19"/>
        </w:rPr>
      </w:pPr>
    </w:p>
    <w:tbl>
      <w:tblPr>
        <w:tblW w:w="0" w:type="auto"/>
        <w:jc w:val="left"/>
        <w:tblInd w:w="953" w:type="dxa"/>
        <w:tblBorders>
          <w:top w:val="single" w:sz="18" w:space="0" w:color="007F00"/>
          <w:left w:val="single" w:sz="18" w:space="0" w:color="007F00"/>
          <w:bottom w:val="single" w:sz="18" w:space="0" w:color="007F00"/>
          <w:right w:val="single" w:sz="18" w:space="0" w:color="007F00"/>
          <w:insideH w:val="single" w:sz="18" w:space="0" w:color="007F00"/>
          <w:insideV w:val="single" w:sz="18" w:space="0" w:color="007F00"/>
        </w:tblBorders>
        <w:tblLayout w:type="fixed"/>
        <w:tblCellMar>
          <w:top w:w="0" w:type="dxa"/>
          <w:left w:w="0" w:type="dxa"/>
          <w:bottom w:w="0" w:type="dxa"/>
          <w:right w:w="0" w:type="dxa"/>
        </w:tblCellMar>
        <w:tblLook w:val="01E0"/>
      </w:tblPr>
      <w:tblGrid>
        <w:gridCol w:w="3122"/>
        <w:gridCol w:w="4821"/>
      </w:tblGrid>
      <w:tr>
        <w:trPr>
          <w:trHeight w:val="648" w:hRule="atLeast"/>
        </w:trPr>
        <w:tc>
          <w:tcPr>
            <w:tcW w:w="3122" w:type="dxa"/>
            <w:tcBorders>
              <w:left w:val="single" w:sz="4" w:space="0" w:color="007F00"/>
              <w:bottom w:val="single" w:sz="12" w:space="0" w:color="007F00"/>
              <w:right w:val="single" w:sz="4" w:space="0" w:color="007F00"/>
            </w:tcBorders>
          </w:tcPr>
          <w:p>
            <w:pPr>
              <w:pStyle w:val="TableParagraph"/>
              <w:spacing w:before="10"/>
              <w:rPr>
                <w:rFonts w:ascii="Verdana"/>
                <w:b/>
                <w:sz w:val="17"/>
              </w:rPr>
            </w:pPr>
          </w:p>
          <w:p>
            <w:pPr>
              <w:pStyle w:val="TableParagraph"/>
              <w:spacing w:before="1"/>
              <w:ind w:left="1201" w:right="1192"/>
              <w:jc w:val="center"/>
              <w:rPr>
                <w:b/>
                <w:sz w:val="18"/>
              </w:rPr>
            </w:pPr>
            <w:r>
              <w:rPr>
                <w:b/>
                <w:sz w:val="18"/>
              </w:rPr>
              <w:t>Presión</w:t>
            </w:r>
          </w:p>
        </w:tc>
        <w:tc>
          <w:tcPr>
            <w:tcW w:w="4821" w:type="dxa"/>
            <w:tcBorders>
              <w:left w:val="single" w:sz="4" w:space="0" w:color="007F00"/>
              <w:bottom w:val="single" w:sz="12" w:space="0" w:color="007F00"/>
              <w:right w:val="single" w:sz="4" w:space="0" w:color="007F00"/>
            </w:tcBorders>
          </w:tcPr>
          <w:p>
            <w:pPr>
              <w:pStyle w:val="TableParagraph"/>
              <w:spacing w:before="10"/>
              <w:rPr>
                <w:rFonts w:ascii="Verdana"/>
                <w:b/>
                <w:sz w:val="17"/>
              </w:rPr>
            </w:pPr>
          </w:p>
          <w:p>
            <w:pPr>
              <w:pStyle w:val="TableParagraph"/>
              <w:spacing w:before="1"/>
              <w:ind w:left="1825" w:right="1816"/>
              <w:jc w:val="center"/>
              <w:rPr>
                <w:b/>
                <w:sz w:val="18"/>
              </w:rPr>
            </w:pPr>
            <w:r>
              <w:rPr>
                <w:b/>
                <w:sz w:val="18"/>
              </w:rPr>
              <w:t>Justificación</w:t>
            </w:r>
          </w:p>
        </w:tc>
      </w:tr>
      <w:tr>
        <w:trPr>
          <w:trHeight w:val="1086" w:hRule="atLeast"/>
        </w:trPr>
        <w:tc>
          <w:tcPr>
            <w:tcW w:w="3122" w:type="dxa"/>
            <w:tcBorders>
              <w:top w:val="single" w:sz="12" w:space="0" w:color="007F00"/>
              <w:left w:val="single" w:sz="4" w:space="0" w:color="007F00"/>
              <w:bottom w:val="single" w:sz="4" w:space="0" w:color="007F00"/>
              <w:right w:val="single" w:sz="4" w:space="0" w:color="007F00"/>
            </w:tcBorders>
          </w:tcPr>
          <w:p>
            <w:pPr>
              <w:pStyle w:val="TableParagraph"/>
              <w:ind w:left="107" w:right="804"/>
              <w:rPr>
                <w:sz w:val="18"/>
              </w:rPr>
            </w:pPr>
            <w:r>
              <w:rPr>
                <w:sz w:val="18"/>
              </w:rPr>
              <w:t>Uso de combustibles fósiles altamente contaminantes</w:t>
            </w:r>
          </w:p>
        </w:tc>
        <w:tc>
          <w:tcPr>
            <w:tcW w:w="4821" w:type="dxa"/>
            <w:tcBorders>
              <w:top w:val="single" w:sz="12" w:space="0" w:color="007F00"/>
              <w:left w:val="single" w:sz="4" w:space="0" w:color="007F00"/>
              <w:bottom w:val="single" w:sz="4" w:space="0" w:color="007F00"/>
              <w:right w:val="single" w:sz="4" w:space="0" w:color="007F00"/>
            </w:tcBorders>
          </w:tcPr>
          <w:p>
            <w:pPr>
              <w:pStyle w:val="TableParagraph"/>
              <w:ind w:left="108" w:right="93"/>
              <w:jc w:val="both"/>
              <w:rPr>
                <w:sz w:val="18"/>
              </w:rPr>
            </w:pPr>
            <w:r>
              <w:rPr>
                <w:sz w:val="18"/>
              </w:rPr>
              <w:t>La oferta del sector eléctrico esta actualmente fundamentada en un 57.4% de derivados del petróleo y un 10% de carbón mineral. Además, la capacidad</w:t>
            </w:r>
          </w:p>
          <w:p>
            <w:pPr>
              <w:pStyle w:val="TableParagraph"/>
              <w:spacing w:line="216" w:lineRule="exact" w:before="7"/>
              <w:ind w:left="108" w:right="93"/>
              <w:jc w:val="both"/>
              <w:rPr>
                <w:sz w:val="18"/>
              </w:rPr>
            </w:pPr>
            <w:r>
              <w:rPr>
                <w:sz w:val="18"/>
              </w:rPr>
              <w:t>instalada en plantas de emergencia en el país puede alcanzar 900 MW.</w:t>
            </w:r>
          </w:p>
        </w:tc>
      </w:tr>
      <w:tr>
        <w:trPr>
          <w:trHeight w:val="648"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line="213" w:lineRule="exact"/>
              <w:ind w:left="107"/>
              <w:rPr>
                <w:sz w:val="18"/>
              </w:rPr>
            </w:pPr>
            <w:r>
              <w:rPr>
                <w:sz w:val="18"/>
              </w:rPr>
              <w:t>Uso de FER</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spacing w:line="213" w:lineRule="exact"/>
              <w:ind w:left="108"/>
              <w:rPr>
                <w:sz w:val="18"/>
              </w:rPr>
            </w:pPr>
            <w:r>
              <w:rPr>
                <w:sz w:val="18"/>
              </w:rPr>
              <w:t>La participación de las FER en la oferta energética</w:t>
            </w:r>
          </w:p>
          <w:p>
            <w:pPr>
              <w:pStyle w:val="TableParagraph"/>
              <w:spacing w:line="216" w:lineRule="exact" w:before="8"/>
              <w:ind w:left="108"/>
              <w:rPr>
                <w:sz w:val="18"/>
              </w:rPr>
            </w:pPr>
            <w:r>
              <w:rPr>
                <w:sz w:val="18"/>
              </w:rPr>
              <w:t>nacional estaba un 6% de la oferta (con leña 15%) en 2005.</w:t>
            </w:r>
          </w:p>
        </w:tc>
      </w:tr>
      <w:tr>
        <w:trPr>
          <w:trHeight w:val="1050"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spacing w:line="237" w:lineRule="auto"/>
              <w:ind w:left="107" w:right="347"/>
              <w:rPr>
                <w:sz w:val="18"/>
              </w:rPr>
            </w:pPr>
            <w:r>
              <w:rPr>
                <w:sz w:val="18"/>
              </w:rPr>
              <w:t>Uso de otros combustibles fósiles menos contaminantes</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4"/>
              <w:jc w:val="both"/>
              <w:rPr>
                <w:sz w:val="18"/>
              </w:rPr>
            </w:pPr>
            <w:r>
              <w:rPr>
                <w:sz w:val="18"/>
              </w:rPr>
              <w:t>El sector eléctrico ha suplantado 17.6% de combustibles contaminantes por el gas natural. El gas natural se estila como el principal sustituto de los combustibles fósiles altamente contaminantes.</w:t>
            </w:r>
          </w:p>
        </w:tc>
      </w:tr>
      <w:tr>
        <w:trPr>
          <w:trHeight w:val="1319" w:hRule="atLeast"/>
        </w:trPr>
        <w:tc>
          <w:tcPr>
            <w:tcW w:w="3122" w:type="dxa"/>
            <w:tcBorders>
              <w:top w:val="single" w:sz="4" w:space="0" w:color="007F00"/>
              <w:left w:val="single" w:sz="4" w:space="0" w:color="007F00"/>
              <w:bottom w:val="single" w:sz="4" w:space="0" w:color="007F00"/>
              <w:right w:val="single" w:sz="4" w:space="0" w:color="007F00"/>
            </w:tcBorders>
          </w:tcPr>
          <w:p>
            <w:pPr>
              <w:pStyle w:val="TableParagraph"/>
              <w:ind w:left="107" w:right="444"/>
              <w:rPr>
                <w:sz w:val="18"/>
              </w:rPr>
            </w:pPr>
            <w:r>
              <w:rPr>
                <w:sz w:val="18"/>
              </w:rPr>
              <w:t>Uso ineficiente de leña y carbón (usos domésticos)</w:t>
            </w:r>
          </w:p>
        </w:tc>
        <w:tc>
          <w:tcPr>
            <w:tcW w:w="4821" w:type="dxa"/>
            <w:tcBorders>
              <w:top w:val="single" w:sz="4" w:space="0" w:color="007F00"/>
              <w:left w:val="single" w:sz="4" w:space="0" w:color="007F00"/>
              <w:bottom w:val="single" w:sz="4" w:space="0" w:color="007F00"/>
              <w:right w:val="single" w:sz="4" w:space="0" w:color="007F00"/>
            </w:tcBorders>
          </w:tcPr>
          <w:p>
            <w:pPr>
              <w:pStyle w:val="TableParagraph"/>
              <w:ind w:left="108" w:right="93"/>
              <w:jc w:val="both"/>
              <w:rPr>
                <w:sz w:val="18"/>
              </w:rPr>
            </w:pPr>
            <w:r>
              <w:rPr>
                <w:sz w:val="18"/>
              </w:rPr>
              <w:t>La Encuesta Nacional de Ingresos y Gastos de los Hogares (ENIGH 2007), sitúa el consumo de leña para cocción de alimentos en 265,000 hogares, equivalente a un 10.4% de la población. El carbón vegetal es usado por 78,000 familias, para el 3.1% de la</w:t>
            </w:r>
            <w:r>
              <w:rPr>
                <w:spacing w:val="-5"/>
                <w:sz w:val="18"/>
              </w:rPr>
              <w:t> </w:t>
            </w:r>
            <w:r>
              <w:rPr>
                <w:sz w:val="18"/>
              </w:rPr>
              <w:t>población.</w:t>
            </w:r>
          </w:p>
        </w:tc>
      </w:tr>
    </w:tbl>
    <w:p>
      <w:pPr>
        <w:pStyle w:val="BodyText"/>
        <w:rPr>
          <w:rFonts w:ascii="Verdana"/>
          <w:b/>
          <w:sz w:val="20"/>
        </w:rPr>
      </w:pPr>
    </w:p>
    <w:p>
      <w:pPr>
        <w:pStyle w:val="BodyText"/>
        <w:spacing w:before="7"/>
        <w:rPr>
          <w:rFonts w:ascii="Verdana"/>
          <w:b/>
          <w:sz w:val="19"/>
        </w:rPr>
      </w:pPr>
    </w:p>
    <w:p>
      <w:pPr>
        <w:pStyle w:val="Heading3"/>
        <w:spacing w:before="104"/>
        <w:ind w:left="1320"/>
        <w:rPr>
          <w:i/>
        </w:rPr>
      </w:pPr>
      <w:bookmarkStart w:name="_TOC_250012" w:id="87"/>
      <w:bookmarkEnd w:id="87"/>
      <w:r>
        <w:rPr>
          <w:i/>
          <w:w w:val="110"/>
        </w:rPr>
        <w:t>Capacidad de influencia de los instrumentos de la planificación</w:t>
      </w:r>
    </w:p>
    <w:p>
      <w:pPr>
        <w:pStyle w:val="BodyText"/>
        <w:spacing w:before="11"/>
        <w:rPr>
          <w:rFonts w:ascii="Times New Roman"/>
          <w:b/>
          <w:i/>
        </w:rPr>
      </w:pPr>
    </w:p>
    <w:p>
      <w:pPr>
        <w:pStyle w:val="BodyText"/>
        <w:ind w:left="239" w:right="1056"/>
        <w:jc w:val="both"/>
      </w:pPr>
      <w:r>
        <w:rPr/>
        <w:t>En lo fundamental, la política ambiental sectorial se diseña para influenciar positivamente en los efectos ambientales del sector energético y establecer la capacidad de influencia de los instrumentos de planificación en los cinco efectos ambientales</w:t>
      </w:r>
      <w:r>
        <w:rPr>
          <w:spacing w:val="-9"/>
        </w:rPr>
        <w:t> </w:t>
      </w:r>
      <w:r>
        <w:rPr/>
        <w:t>agregados.</w:t>
      </w:r>
    </w:p>
    <w:p>
      <w:pPr>
        <w:pStyle w:val="BodyText"/>
      </w:pPr>
    </w:p>
    <w:p>
      <w:pPr>
        <w:pStyle w:val="BodyText"/>
        <w:ind w:left="806" w:right="1059"/>
        <w:jc w:val="both"/>
      </w:pPr>
      <w:r>
        <w:rPr>
          <w:u w:val="single"/>
        </w:rPr>
        <w:t>EA1. Concentración de la contaminación en determinadas áreas urbanas (mala calidad</w:t>
      </w:r>
      <w:r>
        <w:rPr/>
        <w:t> </w:t>
      </w:r>
      <w:r>
        <w:rPr>
          <w:u w:val="single"/>
        </w:rPr>
        <w:t>del aire)</w:t>
      </w:r>
    </w:p>
    <w:p>
      <w:pPr>
        <w:pStyle w:val="BodyText"/>
      </w:pPr>
    </w:p>
    <w:p>
      <w:pPr>
        <w:pStyle w:val="BodyText"/>
        <w:ind w:left="806" w:right="1053"/>
        <w:jc w:val="both"/>
      </w:pPr>
      <w:r>
        <w:rPr/>
        <w:t>Dinámica de incremento de la presión sobre el efecto ambiental de la contaminación en determinadas áreas urbanas. Los instrumentos más influyentes son: la ineficiencia de directrices técnicas ambientales en el sector, la carencia de un sistema de monitoreo ambiental, y el uso de combustibles fósiles altamente contaminantes.</w:t>
      </w:r>
    </w:p>
    <w:p>
      <w:pPr>
        <w:pStyle w:val="BodyText"/>
        <w:spacing w:before="11"/>
        <w:rPr>
          <w:sz w:val="22"/>
        </w:rPr>
      </w:pPr>
    </w:p>
    <w:p>
      <w:pPr>
        <w:pStyle w:val="BodyText"/>
        <w:spacing w:before="1"/>
        <w:ind w:left="806" w:right="1055"/>
        <w:jc w:val="both"/>
      </w:pPr>
      <w:r>
        <w:rPr/>
        <w:t>Influyen de forma importante también las inversiones en derivados del petróleo, y el sistema tarifario de tarifas altas y discriminatorias.</w:t>
      </w:r>
    </w:p>
    <w:p>
      <w:pPr>
        <w:pStyle w:val="BodyText"/>
        <w:spacing w:before="11"/>
        <w:rPr>
          <w:sz w:val="22"/>
        </w:rPr>
      </w:pPr>
    </w:p>
    <w:p>
      <w:pPr>
        <w:pStyle w:val="BodyText"/>
        <w:spacing w:before="1"/>
        <w:ind w:left="806" w:right="1056"/>
        <w:jc w:val="both"/>
      </w:pPr>
      <w:r>
        <w:rPr/>
        <w:t>Un segundo grupo de instrumentos que influyen en esta situación son: la autoproducción ineficiente…, la falta de mecanismos de comando y control, y la gestión ineficiente de residuos peligrosos (generados por el sector</w:t>
      </w:r>
      <w:r>
        <w:rPr>
          <w:spacing w:val="-14"/>
        </w:rPr>
        <w:t> </w:t>
      </w:r>
      <w:r>
        <w:rPr/>
        <w:t>energético).</w:t>
      </w:r>
    </w:p>
    <w:p>
      <w:pPr>
        <w:pStyle w:val="BodyText"/>
      </w:pPr>
    </w:p>
    <w:p>
      <w:pPr>
        <w:pStyle w:val="BodyText"/>
        <w:ind w:left="806" w:right="1055"/>
        <w:jc w:val="both"/>
      </w:pPr>
      <w:r>
        <w:rPr/>
        <w:t>Existe un grupo de instrumentos que contribuyen a la mejora de este efecto, y son: el control de las inversiones (gestión ambiental adecuada), las inversiones en tecnología ambiental, el uso de FER y el uso de otros combustibles menos</w:t>
      </w:r>
      <w:r>
        <w:rPr>
          <w:spacing w:val="-15"/>
        </w:rPr>
        <w:t> </w:t>
      </w:r>
      <w:r>
        <w:rPr/>
        <w:t>contaminantes.</w:t>
      </w:r>
    </w:p>
    <w:p>
      <w:pPr>
        <w:pStyle w:val="BodyText"/>
        <w:spacing w:before="1"/>
      </w:pPr>
    </w:p>
    <w:p>
      <w:pPr>
        <w:pStyle w:val="BodyText"/>
        <w:ind w:left="806"/>
        <w:jc w:val="both"/>
      </w:pPr>
      <w:r>
        <w:rPr>
          <w:u w:val="single"/>
        </w:rPr>
        <w:t>EA2. Contaminación del suelo y del agua</w:t>
      </w:r>
    </w:p>
    <w:p>
      <w:pPr>
        <w:spacing w:after="0"/>
        <w:jc w:val="both"/>
        <w:sectPr>
          <w:pgSz w:w="12240" w:h="15840"/>
          <w:pgMar w:header="718" w:footer="954" w:top="1360" w:bottom="1140" w:left="1200" w:right="380"/>
        </w:sectPr>
      </w:pPr>
    </w:p>
    <w:p>
      <w:pPr>
        <w:pStyle w:val="BodyText"/>
        <w:rPr>
          <w:sz w:val="20"/>
        </w:rPr>
      </w:pPr>
    </w:p>
    <w:p>
      <w:pPr>
        <w:pStyle w:val="BodyText"/>
        <w:spacing w:before="9"/>
        <w:rPr>
          <w:sz w:val="22"/>
        </w:rPr>
      </w:pPr>
    </w:p>
    <w:p>
      <w:pPr>
        <w:pStyle w:val="BodyText"/>
        <w:ind w:left="806" w:right="1054"/>
        <w:jc w:val="both"/>
      </w:pPr>
      <w:r>
        <w:rPr/>
        <w:t>Dinámica de incremento de la presión ambiental sobre el efecto ambiental de la contaminación del suelo y del agua. Los instrumentos que le presionan por orden de influencia son: la gestión deficiente de los residuos peligrosos (generados por el sector), la carencia de un sistema de monitoreo ambiental, la ineficiencia de directrices técnicas, el uso de combustibles fósiles altamente contaminantes, la falta de mecanismos de comando y control, y por último la autoproducción ineficiente y basada en el uso de combustibles</w:t>
      </w:r>
      <w:r>
        <w:rPr>
          <w:spacing w:val="-4"/>
        </w:rPr>
        <w:t> </w:t>
      </w:r>
      <w:r>
        <w:rPr/>
        <w:t>fósiles.</w:t>
      </w:r>
    </w:p>
    <w:p>
      <w:pPr>
        <w:pStyle w:val="BodyText"/>
        <w:spacing w:before="1"/>
      </w:pPr>
    </w:p>
    <w:p>
      <w:pPr>
        <w:pStyle w:val="BodyText"/>
        <w:spacing w:before="1"/>
        <w:ind w:left="806"/>
        <w:jc w:val="both"/>
      </w:pPr>
      <w:r>
        <w:rPr>
          <w:u w:val="single"/>
        </w:rPr>
        <w:t>EA3. Emisiones GEI</w:t>
      </w:r>
    </w:p>
    <w:p>
      <w:pPr>
        <w:pStyle w:val="BodyText"/>
        <w:spacing w:before="11"/>
        <w:rPr>
          <w:sz w:val="22"/>
        </w:rPr>
      </w:pPr>
    </w:p>
    <w:p>
      <w:pPr>
        <w:pStyle w:val="BodyText"/>
        <w:ind w:left="806" w:right="1054"/>
        <w:jc w:val="both"/>
      </w:pPr>
      <w:r>
        <w:rPr/>
        <w:t>Dinámica de incremento de la presión ambiental sobre el efecto ambiental de la emisión de GEI. Los instrumentos de presión por orden de influencia son: el uso de combustibles fósiles altamente contaminantes, la autoproducción ineficiente y basada en el uso de combustibles fósiles, la gestión deficiente de residuos peligrosos, la carencia de un sistema de directrices técnicas ambientales del sector.</w:t>
      </w:r>
    </w:p>
    <w:p>
      <w:pPr>
        <w:pStyle w:val="BodyText"/>
        <w:spacing w:before="12"/>
        <w:rPr>
          <w:sz w:val="22"/>
        </w:rPr>
      </w:pPr>
    </w:p>
    <w:p>
      <w:pPr>
        <w:pStyle w:val="BodyText"/>
        <w:ind w:left="806" w:right="1055"/>
        <w:jc w:val="both"/>
      </w:pPr>
      <w:r>
        <w:rPr/>
        <w:t>Los instrumentos que mejoran algo el efecto ambiental son: el uso de FER, las inversiones en tecnología ambiental, y el control de las inversiones del sector energético.</w:t>
      </w:r>
    </w:p>
    <w:p>
      <w:pPr>
        <w:pStyle w:val="BodyText"/>
      </w:pPr>
    </w:p>
    <w:p>
      <w:pPr>
        <w:pStyle w:val="BodyText"/>
        <w:ind w:left="806"/>
        <w:jc w:val="both"/>
      </w:pPr>
      <w:r>
        <w:rPr>
          <w:u w:val="single"/>
        </w:rPr>
        <w:t>EA4. Pérdida de biodiversidad</w:t>
      </w:r>
    </w:p>
    <w:p>
      <w:pPr>
        <w:pStyle w:val="BodyText"/>
        <w:spacing w:before="11"/>
        <w:rPr>
          <w:sz w:val="22"/>
        </w:rPr>
      </w:pPr>
    </w:p>
    <w:p>
      <w:pPr>
        <w:pStyle w:val="BodyText"/>
        <w:spacing w:before="1"/>
        <w:ind w:left="806" w:right="1054"/>
        <w:jc w:val="both"/>
      </w:pPr>
      <w:r>
        <w:rPr/>
        <w:t>Dinámica de incremento de la presión ambiental sobre el efecto ambiental de la pérdida de biodiversidad. Los elementos que le presionan por orden de influencia son: la ineficiencia de directrices técnicas ambientales del sector; la falta de mecanismos de comando y control ambiental específico del sector, y el uso de combustibles fósiles altamente contaminantes.</w:t>
      </w:r>
    </w:p>
    <w:p>
      <w:pPr>
        <w:pStyle w:val="BodyText"/>
        <w:spacing w:before="11"/>
        <w:rPr>
          <w:sz w:val="22"/>
        </w:rPr>
      </w:pPr>
    </w:p>
    <w:p>
      <w:pPr>
        <w:pStyle w:val="BodyText"/>
        <w:spacing w:line="480" w:lineRule="auto" w:before="1"/>
        <w:ind w:left="806" w:right="1895"/>
      </w:pPr>
      <w:r>
        <w:rPr/>
        <w:t>En cierta medida se ve mejorado por: las inversiones en tecnología ambiental. </w:t>
      </w:r>
      <w:r>
        <w:rPr>
          <w:u w:val="single"/>
        </w:rPr>
        <w:t>EA5. Presión sobre el bosque y deforestación</w:t>
      </w:r>
    </w:p>
    <w:p>
      <w:pPr>
        <w:pStyle w:val="BodyText"/>
        <w:ind w:left="806" w:right="1054"/>
        <w:jc w:val="both"/>
      </w:pPr>
      <w:r>
        <w:rPr/>
        <w:t>Dinámica de incremento de la presión ambiental sobre el efecto ambiental de la presión sobre el bosque y la deforestación. Esta presión es influenciada fundamentalmente por la ineficiencia de directrices técnicas ambientales del sector. En menor medida por: la falta de mecanismos de comando y control ambiental, el uso de combustibles fósiles altamente contaminantes, y las inversiones en distribución de energía.</w:t>
      </w:r>
    </w:p>
    <w:p>
      <w:pPr>
        <w:pStyle w:val="BodyText"/>
        <w:spacing w:before="11"/>
        <w:rPr>
          <w:sz w:val="22"/>
        </w:rPr>
      </w:pPr>
    </w:p>
    <w:p>
      <w:pPr>
        <w:pStyle w:val="BodyText"/>
        <w:ind w:left="240" w:right="1055"/>
        <w:jc w:val="both"/>
      </w:pPr>
      <w:r>
        <w:rPr/>
        <w:t>En general, considerando todos los efectos ambientales y a modo de conclusión, puede afirmarse que la ineficiencia de directrices técnicas ambientales del sector, la falta de mecanismos de comando y control ambiental específico del sector y el uso de combustibles fósiles altamente contaminantes son las fuerzas motrices más influyentes.</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4"/>
        <w:jc w:val="both"/>
      </w:pPr>
      <w:r>
        <w:rPr/>
        <w:t>El sistema está muy condicionado por elementos institucionales, como la escasez de recursos financieros, técnicos y humanos en el órgano ambiental, y falta de eficiente gestión, o la debilidad institucional de los estamentos ambientales que limitan la gestión adecuada por parte del órgano ambiental, la regulación del sector energético por el órgano ambiental. Esto afecta a la tarea de control y gestión de las inversiones en el sector desde un punto de vista ambiental, control de las inversiones del sector energético (gestión ambiental adecuada de la inversión), que es deficiente. Este es un elemento que podría mejorar la competitividad del sector energético, pero que no puede hacerlo porque se encuentra limitado por la falta de mecanismos de comando y control ambiental específicos para el sector.</w:t>
      </w:r>
    </w:p>
    <w:p>
      <w:pPr>
        <w:pStyle w:val="BodyText"/>
        <w:spacing w:before="1"/>
      </w:pPr>
    </w:p>
    <w:p>
      <w:pPr>
        <w:pStyle w:val="BodyText"/>
        <w:ind w:left="239" w:right="1053"/>
        <w:jc w:val="both"/>
      </w:pPr>
      <w:r>
        <w:rPr/>
        <w:t>El déficit de infraestructuras energéticas es una de las causas de la falta de estabilidad en suministro, lo cual causa que la energía suministrada sea de baja calidad; este mal servicio lo que hace es favorecer la autoproducción ineficiente basada en uso de combustibles fósiles. Este elemento como se ha visto contribuye, por un lado a disminuir la competitividad del sector de la energía, por un lado, y por otro, causa un aumento de las emisiones de gases, y de material particulado a la atmósfera. Estos problemas ambientales afectan a la calidad de vida sobre todo en los centros urbanos, y tienen la capacidad de incentivar la actuación el órgano ambiental para que regule el sector, y así se cierra de nuevo el sistema. Sin embargo, condicionantes institucionales, como se ha visto, no permiten la actuación correcta del órgano</w:t>
      </w:r>
      <w:r>
        <w:rPr>
          <w:spacing w:val="-2"/>
        </w:rPr>
        <w:t> </w:t>
      </w:r>
      <w:r>
        <w:rPr/>
        <w:t>ambiental.</w:t>
      </w:r>
    </w:p>
    <w:p>
      <w:pPr>
        <w:pStyle w:val="BodyText"/>
        <w:spacing w:before="11"/>
        <w:rPr>
          <w:sz w:val="22"/>
        </w:rPr>
      </w:pPr>
    </w:p>
    <w:p>
      <w:pPr>
        <w:pStyle w:val="BodyText"/>
        <w:ind w:left="239" w:right="1055"/>
        <w:jc w:val="both"/>
      </w:pPr>
      <w:r>
        <w:rPr/>
        <w:t>El déficit de infraestructuras energéticas no puede ser mejorado por las inversiones en generación y distribución energética al estar éstas muy condicionadas por elementos institucionales como son la carencia de un sistema de monitoreo y por la falta de mecanismos de comando y control ambiental específicos del sector, así como por el déficit financiero de las empresas de distribución.</w:t>
      </w:r>
    </w:p>
    <w:p>
      <w:pPr>
        <w:pStyle w:val="BodyText"/>
      </w:pPr>
    </w:p>
    <w:p>
      <w:pPr>
        <w:pStyle w:val="BodyText"/>
        <w:ind w:left="239" w:right="1054"/>
        <w:jc w:val="both"/>
      </w:pPr>
      <w:r>
        <w:rPr/>
        <w:t>Las inversiones en los diferentes subsectores —inversiones en gasoil y fueloil, inversiones en carbón, inversiones en gas natural, inversiones en cogeneración, etc. — están condicionadas por el consumo indiscriminado de energía. El consumo indiscriminado de energía incrementa las inversiones en gasoil y fueloil, y las inversiones en carbón. Este tipo de inversiones incentivan el uso de combustibles altamente contaminantes, que provocan un aumento de las emisiones —emisiones GEI, emisiones de material particulado,  emisiones de gases a la atmósfera— y de los problemas ambientales del</w:t>
      </w:r>
      <w:r>
        <w:rPr>
          <w:spacing w:val="-12"/>
        </w:rPr>
        <w:t> </w:t>
      </w:r>
      <w:r>
        <w:rPr/>
        <w:t>sistema.</w:t>
      </w:r>
    </w:p>
    <w:p>
      <w:pPr>
        <w:pStyle w:val="BodyText"/>
        <w:spacing w:before="1"/>
      </w:pPr>
    </w:p>
    <w:p>
      <w:pPr>
        <w:pStyle w:val="BodyText"/>
        <w:spacing w:before="1"/>
        <w:ind w:left="239" w:right="985"/>
        <w:jc w:val="both"/>
      </w:pPr>
      <w:r>
        <w:rPr/>
        <w:t>La energía suministrada de baja calidad favorece una oportunidad de negocio para productores independientes, que contribuye a reducir la falta de estabilidad en suministro, que es lo que no permite satisfacer la demanda. Como consecuencia existe una gran cantidad de inversores eléctricos, que a su vez aumentan la demanda de energía de la red, y ello implica un mayor consumo de combustibles fósiles, y de emisiones a la atmósfera, y provocan problemas de gestión de residuos peligrosos. De esta forma se retroalimenta el bucle de las emisiones de contaminantes que afectan a la pérdida de la biodiversidad. Estos elementos refuerzan la regulación del sector energético por el órgano ambiental, pero éste se encuentra muy condicionado por la debilidad institucional de los estamentos</w:t>
      </w:r>
      <w:r>
        <w:rPr>
          <w:spacing w:val="8"/>
        </w:rPr>
        <w:t> </w:t>
      </w:r>
      <w:r>
        <w:rPr/>
        <w:t>ambientales,</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6"/>
        <w:jc w:val="both"/>
      </w:pPr>
      <w:r>
        <w:rPr/>
        <w:t>por la escasez de recursos financieros, humanos y técnicos y por la falta de una eficiente gestión.</w:t>
      </w:r>
    </w:p>
    <w:p>
      <w:pPr>
        <w:pStyle w:val="BodyText"/>
      </w:pPr>
    </w:p>
    <w:p>
      <w:pPr>
        <w:pStyle w:val="BodyText"/>
        <w:ind w:left="239" w:right="1056"/>
        <w:jc w:val="both"/>
      </w:pPr>
      <w:r>
        <w:rPr/>
        <w:t>El sistema contempla la carencia o déficit de un sistema de monitoreo ambiental por parte del órgano ambiental, lo cual favorece aquellas inversiones que son las que contribuyen a aumentar los problemas ambientales, como las inversiones en carbón, o inversiones en gasoil y fueloil; este mismo efecto provoca en la gestión inadecuada de residuos peligrosos, como son la gestión de transformadores o de inversores, o bien favoreciendo la continuidad de las malas prácticas en los sistemas de generación.</w:t>
      </w:r>
    </w:p>
    <w:p>
      <w:pPr>
        <w:pStyle w:val="BodyText"/>
      </w:pPr>
    </w:p>
    <w:p>
      <w:pPr>
        <w:pStyle w:val="BodyText"/>
        <w:ind w:left="239" w:right="1053"/>
        <w:jc w:val="both"/>
      </w:pPr>
      <w:r>
        <w:rPr/>
        <w:t>Por otro lado, el deficiente sistema de monitoreo ambiental lo que hace es limitar la efectividad de aquellas inversiones que tienen un beneficio ambiental pues reducen las emisiones de gases o la contaminación del suelo, como las inversiones en FER y las inversiones en URE, o en sistemas de ciclo combinado, o las inversiones en tecnología ambiental. El efecto favorecedor de un sistema de monitoreo en este tipo de inversiones no tiene efecto por la ausencia del mismo provocada como se ha visto por la escasez de recursos financieros, técnicos y humanos en el órgano ambiental.</w:t>
      </w:r>
    </w:p>
    <w:p>
      <w:pPr>
        <w:pStyle w:val="BodyText"/>
        <w:spacing w:before="2"/>
      </w:pPr>
    </w:p>
    <w:p>
      <w:pPr>
        <w:pStyle w:val="BodyText"/>
        <w:ind w:left="239" w:right="1054"/>
        <w:jc w:val="both"/>
      </w:pPr>
      <w:r>
        <w:rPr/>
        <w:t>El marco regulatorio sostiene un sistema tarifario que en su aplicación se manifiesta arbitrario e injusto, pues favorece tarifas altas y discriminatorias, y subsidios generalizados que hacen que el sistema energético dependa de las transferencias del presupuesto nacional.</w:t>
      </w:r>
    </w:p>
    <w:p>
      <w:pPr>
        <w:pStyle w:val="BodyText"/>
        <w:spacing w:before="11"/>
        <w:rPr>
          <w:sz w:val="22"/>
        </w:rPr>
      </w:pPr>
    </w:p>
    <w:p>
      <w:pPr>
        <w:pStyle w:val="BodyText"/>
        <w:ind w:left="239" w:right="1054"/>
        <w:jc w:val="both"/>
      </w:pPr>
      <w:r>
        <w:rPr/>
        <w:t>El sistema contempla otros elementos institucionales condicionantes, como la escasa aplicación del marco regulatorio, de procedimientos específicos y aplicación de incentivos fiscales que favorece las inversiones en carbón, y las inversiones en gasoil y fueloil. Limita, por otro lado la aplicación de las inversiones en FER y las inversiones en URE, o las inversiones en tecnología ambiental.</w:t>
      </w:r>
    </w:p>
    <w:p>
      <w:pPr>
        <w:pStyle w:val="BodyText"/>
      </w:pPr>
    </w:p>
    <w:p>
      <w:pPr>
        <w:pStyle w:val="BodyText"/>
        <w:ind w:left="239" w:right="1054"/>
        <w:jc w:val="both"/>
      </w:pPr>
      <w:r>
        <w:rPr/>
        <w:t>El solapamiento de atribuciones de las instituciones limita la efectividad del marco regulatorio y también la disposición de las instituciones energéticas a la colaboración ambiental, que por otro lado es la que fortalece el marco regulatorio.</w:t>
      </w:r>
    </w:p>
    <w:p>
      <w:pPr>
        <w:pStyle w:val="BodyText"/>
        <w:spacing w:before="1"/>
      </w:pPr>
    </w:p>
    <w:p>
      <w:pPr>
        <w:pStyle w:val="BodyText"/>
        <w:ind w:left="239" w:right="1053"/>
        <w:jc w:val="both"/>
      </w:pPr>
      <w:r>
        <w:rPr/>
        <w:t>La escasez de recursos financieros, técnicos y humanos en el órgano ambiental, y falta de eficiente gestión provoca una falta de mecanismos de comando y control ambiental específico del sector, e ineficiencia de las directrices técnicas ambientales en el sector energético. Esto desfavorece una gestión coordinada de las cuencas hidrográficas, que favorece las presiones sobre el bosque y deforestación, y por otro lado, provoca la existencia de numerosos embalses de uso hidroeléctrico con gran cantidad de sedimentos (de tipo orgánico e inorgánico), y como consecuencia de ello una importante cantidad de emisiones de metano provocada por la degradación anaeróbica de la materia orgánica aportada. Estos elementos afectan a la pérdida de biodiversidad.</w:t>
      </w:r>
    </w:p>
    <w:p>
      <w:pPr>
        <w:pStyle w:val="BodyText"/>
        <w:spacing w:before="10"/>
        <w:rPr>
          <w:sz w:val="22"/>
        </w:rPr>
      </w:pPr>
    </w:p>
    <w:p>
      <w:pPr>
        <w:pStyle w:val="BodyText"/>
        <w:ind w:left="239" w:right="1055"/>
        <w:jc w:val="both"/>
      </w:pPr>
      <w:r>
        <w:rPr/>
        <w:t>La ineficiencia de directrices técnicas ambientales favorece las malas prácticas en las plantas</w:t>
      </w:r>
      <w:r>
        <w:rPr>
          <w:spacing w:val="28"/>
        </w:rPr>
        <w:t> </w:t>
      </w:r>
      <w:r>
        <w:rPr/>
        <w:t>de</w:t>
      </w:r>
      <w:r>
        <w:rPr>
          <w:spacing w:val="29"/>
        </w:rPr>
        <w:t> </w:t>
      </w:r>
      <w:r>
        <w:rPr/>
        <w:t>generación</w:t>
      </w:r>
      <w:r>
        <w:rPr>
          <w:spacing w:val="27"/>
        </w:rPr>
        <w:t> </w:t>
      </w:r>
      <w:r>
        <w:rPr/>
        <w:t>en</w:t>
      </w:r>
      <w:r>
        <w:rPr>
          <w:spacing w:val="30"/>
        </w:rPr>
        <w:t> </w:t>
      </w:r>
      <w:r>
        <w:rPr/>
        <w:t>cuanto</w:t>
      </w:r>
      <w:r>
        <w:rPr>
          <w:spacing w:val="28"/>
        </w:rPr>
        <w:t> </w:t>
      </w:r>
      <w:r>
        <w:rPr/>
        <w:t>a</w:t>
      </w:r>
      <w:r>
        <w:rPr>
          <w:spacing w:val="27"/>
        </w:rPr>
        <w:t> </w:t>
      </w:r>
      <w:r>
        <w:rPr/>
        <w:t>vertidos</w:t>
      </w:r>
      <w:r>
        <w:rPr>
          <w:spacing w:val="29"/>
        </w:rPr>
        <w:t> </w:t>
      </w:r>
      <w:r>
        <w:rPr/>
        <w:t>de</w:t>
      </w:r>
      <w:r>
        <w:rPr>
          <w:spacing w:val="28"/>
        </w:rPr>
        <w:t> </w:t>
      </w:r>
      <w:r>
        <w:rPr/>
        <w:t>hidrocarburos</w:t>
      </w:r>
      <w:r>
        <w:rPr>
          <w:spacing w:val="29"/>
        </w:rPr>
        <w:t> </w:t>
      </w:r>
      <w:r>
        <w:rPr/>
        <w:t>que</w:t>
      </w:r>
      <w:r>
        <w:rPr>
          <w:spacing w:val="29"/>
        </w:rPr>
        <w:t> </w:t>
      </w:r>
      <w:r>
        <w:rPr/>
        <w:t>provoca</w:t>
      </w:r>
      <w:r>
        <w:rPr>
          <w:spacing w:val="27"/>
        </w:rPr>
        <w:t> </w:t>
      </w:r>
      <w:r>
        <w:rPr/>
        <w:t>contaminación</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5"/>
        <w:jc w:val="both"/>
      </w:pPr>
      <w:r>
        <w:rPr/>
        <w:t>del suelo. Favorece, por otro lado la inadecuada ubicación de las plantas de generación energética, lo cual provoca concentración de la contaminación en determinadas áreas urbanas y mala calidad del aire, y provoca también pérdida de biodiversidad al situarse estas plantas en zonas naturales de alto</w:t>
      </w:r>
      <w:r>
        <w:rPr>
          <w:spacing w:val="-5"/>
        </w:rPr>
        <w:t> </w:t>
      </w:r>
      <w:r>
        <w:rPr/>
        <w:t>valor.</w:t>
      </w:r>
    </w:p>
    <w:p>
      <w:pPr>
        <w:pStyle w:val="BodyText"/>
        <w:rPr>
          <w:sz w:val="28"/>
        </w:rPr>
      </w:pPr>
    </w:p>
    <w:p>
      <w:pPr>
        <w:pStyle w:val="BodyText"/>
        <w:spacing w:before="7"/>
        <w:rPr>
          <w:sz w:val="41"/>
        </w:rPr>
      </w:pPr>
    </w:p>
    <w:p>
      <w:pPr>
        <w:pStyle w:val="Heading3"/>
        <w:rPr>
          <w:i/>
        </w:rPr>
      </w:pPr>
      <w:bookmarkStart w:name="_TOC_250011" w:id="88"/>
      <w:bookmarkEnd w:id="88"/>
      <w:r>
        <w:rPr>
          <w:i/>
          <w:w w:val="110"/>
        </w:rPr>
        <w:t>Recomendaciones</w:t>
      </w:r>
    </w:p>
    <w:p>
      <w:pPr>
        <w:pStyle w:val="BodyText"/>
        <w:spacing w:before="2"/>
        <w:rPr>
          <w:rFonts w:ascii="Times New Roman"/>
          <w:b/>
          <w:i/>
          <w:sz w:val="24"/>
        </w:rPr>
      </w:pPr>
    </w:p>
    <w:p>
      <w:pPr>
        <w:pStyle w:val="BodyText"/>
        <w:ind w:left="239" w:right="1054"/>
        <w:jc w:val="both"/>
      </w:pPr>
      <w:r>
        <w:rPr/>
        <w:t>Como contrapartida, para efectos de definir las políticas ambientales del sector, deberá enfatizarse en el fortalecimiento institucional a través del control de las inversiones (gestión ambiental adecuada) en tecnología ambiental, del sistema de monitoreo ambiental y de un marco regulatorio adecuado, así como en el uso de combustibles fósiles menos contaminantes, la inversión en URE y el desarrollo de las FER.</w:t>
      </w:r>
    </w:p>
    <w:p>
      <w:pPr>
        <w:pStyle w:val="BodyText"/>
        <w:spacing w:before="12"/>
        <w:rPr>
          <w:sz w:val="22"/>
        </w:rPr>
      </w:pPr>
    </w:p>
    <w:p>
      <w:pPr>
        <w:pStyle w:val="BodyText"/>
        <w:ind w:left="239" w:right="1054"/>
        <w:jc w:val="both"/>
      </w:pPr>
      <w:r>
        <w:rPr/>
        <w:t>La existencia de un marco regulatorio adecuado fortalece el sistema. El marco regulatorio debe favorecer un tipo de inversión que mejora el perfil ambiental del sistema, como la inversión en URE y la inversión en FER. La inversión en URE y en FER tiene un efecto ambiental positivo en el sistema energético. La inversión en URE favorece medidas de gestión de la demanda, y medidas de eficiencia energética. La inversión en FER constituye un instrumento esencial para hacer frente a los retos y problemas ambientales, y para asegurar la seguridad del suministro.</w:t>
      </w:r>
    </w:p>
    <w:p>
      <w:pPr>
        <w:pStyle w:val="BodyText"/>
        <w:spacing w:before="11"/>
        <w:rPr>
          <w:sz w:val="22"/>
        </w:rPr>
      </w:pPr>
    </w:p>
    <w:p>
      <w:pPr>
        <w:pStyle w:val="Heading2"/>
        <w:numPr>
          <w:ilvl w:val="1"/>
          <w:numId w:val="58"/>
        </w:numPr>
        <w:tabs>
          <w:tab w:pos="969" w:val="left" w:leader="none"/>
          <w:tab w:pos="970" w:val="left" w:leader="none"/>
        </w:tabs>
        <w:spacing w:line="240" w:lineRule="auto" w:before="0" w:after="0"/>
        <w:ind w:left="969" w:right="0" w:hanging="731"/>
        <w:jc w:val="left"/>
      </w:pPr>
      <w:bookmarkStart w:name="_TOC_250010" w:id="89"/>
      <w:r>
        <w:rPr/>
        <w:t>OBJETIVOS AMBIENTALES DEL</w:t>
      </w:r>
      <w:r>
        <w:rPr>
          <w:spacing w:val="4"/>
        </w:rPr>
        <w:t> </w:t>
      </w:r>
      <w:bookmarkEnd w:id="89"/>
      <w:r>
        <w:rPr/>
        <w:t>PEN</w:t>
      </w:r>
    </w:p>
    <w:p>
      <w:pPr>
        <w:pStyle w:val="BodyText"/>
        <w:spacing w:before="11"/>
        <w:rPr>
          <w:rFonts w:ascii="Verdana"/>
          <w:b/>
        </w:rPr>
      </w:pPr>
    </w:p>
    <w:p>
      <w:pPr>
        <w:pStyle w:val="BodyText"/>
        <w:spacing w:before="1"/>
        <w:ind w:left="239" w:right="988"/>
        <w:jc w:val="both"/>
      </w:pPr>
      <w:r>
        <w:rPr/>
        <w:t>En los capítulos precedentes, el PEN establece objetivos generales para el sector energético, y algunos específicamente para el subsector eléctrico, para las FER, y para el sector hidrocarburos. Haciendo un recuento, el PEN establece los siguientes cinco objetivos estratégicos:</w:t>
      </w:r>
    </w:p>
    <w:p>
      <w:pPr>
        <w:pStyle w:val="BodyText"/>
        <w:spacing w:before="11"/>
        <w:rPr>
          <w:sz w:val="33"/>
        </w:rPr>
      </w:pPr>
    </w:p>
    <w:p>
      <w:pPr>
        <w:pStyle w:val="ListParagraph"/>
        <w:numPr>
          <w:ilvl w:val="0"/>
          <w:numId w:val="62"/>
        </w:numPr>
        <w:tabs>
          <w:tab w:pos="959" w:val="left" w:leader="none"/>
          <w:tab w:pos="960" w:val="left" w:leader="none"/>
        </w:tabs>
        <w:spacing w:line="240" w:lineRule="auto" w:before="0" w:after="0"/>
        <w:ind w:left="960" w:right="0" w:hanging="361"/>
        <w:jc w:val="left"/>
        <w:rPr>
          <w:sz w:val="23"/>
        </w:rPr>
      </w:pPr>
      <w:r>
        <w:rPr>
          <w:sz w:val="23"/>
        </w:rPr>
        <w:t>Incrementar la oferta de energía</w:t>
      </w:r>
      <w:r>
        <w:rPr>
          <w:spacing w:val="-2"/>
          <w:sz w:val="23"/>
        </w:rPr>
        <w:t> </w:t>
      </w:r>
      <w:r>
        <w:rPr>
          <w:sz w:val="23"/>
        </w:rPr>
        <w:t>doméstica;</w:t>
      </w:r>
    </w:p>
    <w:p>
      <w:pPr>
        <w:pStyle w:val="ListParagraph"/>
        <w:numPr>
          <w:ilvl w:val="0"/>
          <w:numId w:val="62"/>
        </w:numPr>
        <w:tabs>
          <w:tab w:pos="959" w:val="left" w:leader="none"/>
          <w:tab w:pos="960" w:val="left" w:leader="none"/>
        </w:tabs>
        <w:spacing w:line="240" w:lineRule="auto" w:before="117" w:after="0"/>
        <w:ind w:left="960" w:right="0" w:hanging="361"/>
        <w:jc w:val="left"/>
        <w:rPr>
          <w:sz w:val="23"/>
        </w:rPr>
      </w:pPr>
      <w:r>
        <w:rPr>
          <w:sz w:val="23"/>
        </w:rPr>
        <w:t>Disminuir el costo de la</w:t>
      </w:r>
      <w:r>
        <w:rPr>
          <w:spacing w:val="-2"/>
          <w:sz w:val="23"/>
        </w:rPr>
        <w:t> </w:t>
      </w:r>
      <w:r>
        <w:rPr>
          <w:sz w:val="23"/>
        </w:rPr>
        <w:t>energía;</w:t>
      </w:r>
    </w:p>
    <w:p>
      <w:pPr>
        <w:pStyle w:val="ListParagraph"/>
        <w:numPr>
          <w:ilvl w:val="0"/>
          <w:numId w:val="62"/>
        </w:numPr>
        <w:tabs>
          <w:tab w:pos="959" w:val="left" w:leader="none"/>
          <w:tab w:pos="960" w:val="left" w:leader="none"/>
        </w:tabs>
        <w:spacing w:line="240" w:lineRule="auto" w:before="116" w:after="0"/>
        <w:ind w:left="960" w:right="0" w:hanging="361"/>
        <w:jc w:val="left"/>
        <w:rPr>
          <w:sz w:val="23"/>
        </w:rPr>
      </w:pPr>
      <w:r>
        <w:rPr>
          <w:sz w:val="23"/>
        </w:rPr>
        <w:t>Incrementar la eficiencia energética y el uso racional de</w:t>
      </w:r>
      <w:r>
        <w:rPr>
          <w:spacing w:val="-10"/>
          <w:sz w:val="23"/>
        </w:rPr>
        <w:t> </w:t>
      </w:r>
      <w:r>
        <w:rPr>
          <w:sz w:val="23"/>
        </w:rPr>
        <w:t>energía;</w:t>
      </w:r>
    </w:p>
    <w:p>
      <w:pPr>
        <w:pStyle w:val="ListParagraph"/>
        <w:numPr>
          <w:ilvl w:val="0"/>
          <w:numId w:val="62"/>
        </w:numPr>
        <w:tabs>
          <w:tab w:pos="959" w:val="left" w:leader="none"/>
          <w:tab w:pos="960" w:val="left" w:leader="none"/>
        </w:tabs>
        <w:spacing w:line="240" w:lineRule="auto" w:before="117" w:after="0"/>
        <w:ind w:left="960" w:right="0" w:hanging="361"/>
        <w:jc w:val="left"/>
        <w:rPr>
          <w:sz w:val="23"/>
        </w:rPr>
      </w:pPr>
      <w:r>
        <w:rPr>
          <w:sz w:val="23"/>
        </w:rPr>
        <w:t>Construir una infraestructura energética más segura y</w:t>
      </w:r>
      <w:r>
        <w:rPr>
          <w:spacing w:val="-5"/>
          <w:sz w:val="23"/>
        </w:rPr>
        <w:t> </w:t>
      </w:r>
      <w:r>
        <w:rPr>
          <w:sz w:val="23"/>
        </w:rPr>
        <w:t>confiable.</w:t>
      </w:r>
    </w:p>
    <w:p>
      <w:pPr>
        <w:pStyle w:val="ListParagraph"/>
        <w:numPr>
          <w:ilvl w:val="0"/>
          <w:numId w:val="62"/>
        </w:numPr>
        <w:tabs>
          <w:tab w:pos="959" w:val="left" w:leader="none"/>
          <w:tab w:pos="960" w:val="left" w:leader="none"/>
        </w:tabs>
        <w:spacing w:line="240" w:lineRule="auto" w:before="119" w:after="0"/>
        <w:ind w:left="959" w:right="0" w:hanging="361"/>
        <w:jc w:val="left"/>
        <w:rPr>
          <w:sz w:val="23"/>
        </w:rPr>
      </w:pPr>
      <w:r>
        <w:rPr>
          <w:sz w:val="23"/>
        </w:rPr>
        <w:t>Acceso universal a la</w:t>
      </w:r>
      <w:r>
        <w:rPr>
          <w:spacing w:val="-3"/>
          <w:sz w:val="23"/>
        </w:rPr>
        <w:t> </w:t>
      </w:r>
      <w:r>
        <w:rPr>
          <w:sz w:val="23"/>
        </w:rPr>
        <w:t>electricidad.</w:t>
      </w:r>
    </w:p>
    <w:p>
      <w:pPr>
        <w:pStyle w:val="BodyText"/>
        <w:spacing w:before="5"/>
        <w:rPr>
          <w:sz w:val="33"/>
        </w:rPr>
      </w:pPr>
    </w:p>
    <w:p>
      <w:pPr>
        <w:pStyle w:val="BodyText"/>
        <w:ind w:left="239" w:right="1055"/>
        <w:jc w:val="both"/>
      </w:pPr>
      <w:r>
        <w:rPr/>
        <w:t>Los objetivos ambientales son objetivos que incorporan una dimensión ambiental, valga la redundancia; es decir, son todos aquellos objetivos que se relacionan con los problemas ambientales de la planificación energética, y cuya elección general de forma más o menos directa efectos positivos para el medio ambiente respecto a otras opciones.</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40" w:right="1054" w:hanging="1"/>
        <w:jc w:val="both"/>
      </w:pPr>
      <w:r>
        <w:rPr/>
        <w:t>Así los objetivos y las políticas de ahorro y eficiencia energética no tienen solamente una componente económica, al plantearse como "alternativas reales" para reducir costes, superar el contexto económico actual y colocarse en una "posición ventajosa frente a la competencia", sino que además tienen una componente ambiental al favorecer la reducción del uso de combustibles y en definitiva de las emisiones de gases a la atmósfera y los efectos ambientales que ello conlleva. En este sentido, el desarrollo de políticas activas en materia de ahorro y eficiencia energética, junto con la promoción del uso de las energías renovables, son "ejes prioritarios" en la política energética de los principales países desarrollados para lograr un desarrollo sostenible.</w:t>
      </w:r>
    </w:p>
    <w:p>
      <w:pPr>
        <w:pStyle w:val="BodyText"/>
      </w:pPr>
    </w:p>
    <w:p>
      <w:pPr>
        <w:pStyle w:val="BodyText"/>
        <w:ind w:left="240" w:right="1054"/>
        <w:jc w:val="both"/>
      </w:pPr>
      <w:r>
        <w:rPr/>
        <w:t>De acuerdo a esto podemos afirmar que el efectivamente el PEN ha formulado dentro de sus lineamientos estratégicos tres objetivos específicos claramente ambientales, que están en coherencia con los principales objetivos ambientales de las políticas a nivel internacional y nacional.</w:t>
      </w:r>
    </w:p>
    <w:p>
      <w:pPr>
        <w:pStyle w:val="BodyText"/>
        <w:spacing w:before="4"/>
        <w:rPr>
          <w:sz w:val="33"/>
        </w:rPr>
      </w:pPr>
    </w:p>
    <w:p>
      <w:pPr>
        <w:pStyle w:val="ListParagraph"/>
        <w:numPr>
          <w:ilvl w:val="0"/>
          <w:numId w:val="63"/>
        </w:numPr>
        <w:tabs>
          <w:tab w:pos="1659" w:val="left" w:leader="none"/>
        </w:tabs>
        <w:spacing w:line="240" w:lineRule="auto" w:before="0" w:after="0"/>
        <w:ind w:left="1658" w:right="1056" w:hanging="360"/>
        <w:jc w:val="both"/>
        <w:rPr>
          <w:rFonts w:ascii="Verdana" w:hAnsi="Verdana"/>
          <w:sz w:val="20"/>
        </w:rPr>
      </w:pPr>
      <w:r>
        <w:rPr>
          <w:rFonts w:ascii="Verdana" w:hAnsi="Verdana"/>
          <w:sz w:val="20"/>
        </w:rPr>
        <w:t>“Incrementar la eficiencia energética y el uso racional de energía”: objetivo general propuesto para las líneas estratégicas del sector</w:t>
      </w:r>
      <w:r>
        <w:rPr>
          <w:rFonts w:ascii="Verdana" w:hAnsi="Verdana"/>
          <w:spacing w:val="-12"/>
          <w:sz w:val="20"/>
        </w:rPr>
        <w:t> </w:t>
      </w:r>
      <w:r>
        <w:rPr>
          <w:rFonts w:ascii="Verdana" w:hAnsi="Verdana"/>
          <w:sz w:val="20"/>
        </w:rPr>
        <w:t>energético.</w:t>
      </w:r>
    </w:p>
    <w:p>
      <w:pPr>
        <w:pStyle w:val="ListParagraph"/>
        <w:numPr>
          <w:ilvl w:val="0"/>
          <w:numId w:val="63"/>
        </w:numPr>
        <w:tabs>
          <w:tab w:pos="1659" w:val="left" w:leader="none"/>
        </w:tabs>
        <w:spacing w:line="240" w:lineRule="auto" w:before="119" w:after="0"/>
        <w:ind w:left="1658" w:right="1054" w:hanging="360"/>
        <w:jc w:val="both"/>
        <w:rPr>
          <w:rFonts w:ascii="Verdana" w:hAnsi="Verdana"/>
          <w:sz w:val="20"/>
        </w:rPr>
      </w:pPr>
      <w:r>
        <w:rPr>
          <w:rFonts w:ascii="Verdana" w:hAnsi="Verdana"/>
          <w:sz w:val="20"/>
        </w:rPr>
        <w:t>“Identificar tecnologías más eficientes y limpias, existentes o en proceso de entrar al mercado”, objetivo general propuesto para las líneas estratégicas de las</w:t>
      </w:r>
      <w:r>
        <w:rPr>
          <w:rFonts w:ascii="Verdana" w:hAnsi="Verdana"/>
          <w:spacing w:val="-2"/>
          <w:sz w:val="20"/>
        </w:rPr>
        <w:t> </w:t>
      </w:r>
      <w:r>
        <w:rPr>
          <w:rFonts w:ascii="Verdana" w:hAnsi="Verdana"/>
          <w:sz w:val="20"/>
        </w:rPr>
        <w:t>FER.</w:t>
      </w:r>
    </w:p>
    <w:p>
      <w:pPr>
        <w:pStyle w:val="ListParagraph"/>
        <w:numPr>
          <w:ilvl w:val="0"/>
          <w:numId w:val="63"/>
        </w:numPr>
        <w:tabs>
          <w:tab w:pos="1659" w:val="left" w:leader="none"/>
        </w:tabs>
        <w:spacing w:line="240" w:lineRule="auto" w:before="120" w:after="0"/>
        <w:ind w:left="1658" w:right="1054" w:hanging="360"/>
        <w:jc w:val="both"/>
        <w:rPr>
          <w:rFonts w:ascii="Verdana" w:hAnsi="Verdana"/>
          <w:sz w:val="20"/>
        </w:rPr>
      </w:pPr>
      <w:r>
        <w:rPr>
          <w:rFonts w:ascii="Verdana" w:hAnsi="Verdana"/>
          <w:sz w:val="20"/>
        </w:rPr>
        <w:t>“Desarrollar una oferta de electricidad suficiente, eficiente, confiable y sostenible ambientalmente para atender la demanda esperada a mínimo costo”, objetivo general propuesto para el subsector</w:t>
      </w:r>
      <w:r>
        <w:rPr>
          <w:rFonts w:ascii="Verdana" w:hAnsi="Verdana"/>
          <w:spacing w:val="-5"/>
          <w:sz w:val="20"/>
        </w:rPr>
        <w:t> </w:t>
      </w:r>
      <w:r>
        <w:rPr>
          <w:rFonts w:ascii="Verdana" w:hAnsi="Verdana"/>
          <w:sz w:val="20"/>
        </w:rPr>
        <w:t>eléctrico.</w:t>
      </w:r>
    </w:p>
    <w:p>
      <w:pPr>
        <w:pStyle w:val="BodyText"/>
        <w:spacing w:before="118"/>
        <w:ind w:left="240" w:right="1054"/>
        <w:jc w:val="both"/>
      </w:pPr>
      <w:r>
        <w:rPr/>
        <w:t>El PEN establece también metas ambientales a alcanzar para el subsector eléctrico en el marco de los problemas y retos a resolver. Específicamente, plantea reducir  la  dependencia de los derivados de petróleo, estableciendo a mediano plazo eliminar el consumo de gasoil y reducir en 50% el consumo de bunker C para generación eléctrica en la red pública a largo plazo diversificación de fuentes de energía: 10% participación en mercado de proyectos renovables; máximo 50% dependencia un solo combustible; 40% mercado de energía</w:t>
      </w:r>
      <w:r>
        <w:rPr>
          <w:spacing w:val="-1"/>
        </w:rPr>
        <w:t> </w:t>
      </w:r>
      <w:r>
        <w:rPr/>
        <w:t>limpia.</w:t>
      </w:r>
    </w:p>
    <w:p>
      <w:pPr>
        <w:pStyle w:val="BodyText"/>
        <w:spacing w:before="11"/>
        <w:rPr>
          <w:sz w:val="22"/>
        </w:rPr>
      </w:pPr>
    </w:p>
    <w:p>
      <w:pPr>
        <w:pStyle w:val="BodyText"/>
        <w:ind w:left="240" w:right="1055"/>
        <w:jc w:val="both"/>
      </w:pPr>
      <w:r>
        <w:rPr/>
        <w:t>Estos objetivos ambientales son coherentes con los cinco efectos ambientales del SMAE. Se puede decir que ellos van a tener una cierta influencia en reducir las emisiones de gases y de material particulado, pero no se puede relacionar con tanta claridad con los elementos de gestión deficiente de residuos peligrosos, o con la pérdida de biodiversidad o con la presión sobre el bosque y la</w:t>
      </w:r>
      <w:r>
        <w:rPr>
          <w:spacing w:val="-2"/>
        </w:rPr>
        <w:t> </w:t>
      </w:r>
      <w:r>
        <w:rPr/>
        <w:t>deforestación.</w:t>
      </w:r>
    </w:p>
    <w:p>
      <w:pPr>
        <w:pStyle w:val="BodyText"/>
        <w:spacing w:before="12"/>
      </w:pPr>
    </w:p>
    <w:p>
      <w:pPr>
        <w:pStyle w:val="BodyText"/>
        <w:ind w:left="240" w:right="1055"/>
        <w:jc w:val="both"/>
      </w:pPr>
      <w:r>
        <w:rPr/>
        <w:t>Como conclusión se puede decir que el PEN se plantea tres objetivos generales y ambientales que en general son coherentes con los objetivos del marco institucional de política de referencia, si bien no considera temas importantes como la protección de las áreas protegidas o la reducción de los riesgos ambientales y en la salud.</w:t>
      </w:r>
    </w:p>
    <w:p>
      <w:pPr>
        <w:pStyle w:val="BodyText"/>
        <w:spacing w:before="1"/>
      </w:pPr>
    </w:p>
    <w:p>
      <w:pPr>
        <w:pStyle w:val="BodyText"/>
        <w:ind w:left="240" w:right="1056"/>
        <w:jc w:val="both"/>
      </w:pPr>
      <w:r>
        <w:rPr/>
        <w:t>Por otro lado, los objetivos ambientales que ha identificado el PEN pueden relacionarse en su conjunto con los problemas ambientales del sistema. Sin embargo, esto no quiere decir que el conjunto de objetivos pueda responder a los efectos ambientales que se consideran</w:t>
      </w:r>
    </w:p>
    <w:p>
      <w:pPr>
        <w:spacing w:after="0"/>
        <w:jc w:val="both"/>
        <w:sectPr>
          <w:pgSz w:w="12240" w:h="15840"/>
          <w:pgMar w:header="718" w:footer="954" w:top="1360" w:bottom="1140" w:left="1200" w:right="380"/>
        </w:sectPr>
      </w:pPr>
    </w:p>
    <w:p>
      <w:pPr>
        <w:pStyle w:val="BodyText"/>
        <w:spacing w:before="4"/>
        <w:rPr>
          <w:sz w:val="11"/>
        </w:rPr>
      </w:pPr>
    </w:p>
    <w:p>
      <w:pPr>
        <w:pStyle w:val="BodyText"/>
        <w:spacing w:before="101"/>
        <w:ind w:left="239" w:right="1057"/>
        <w:jc w:val="both"/>
      </w:pPr>
      <w:r>
        <w:rPr/>
        <w:t>clave para el sistema energético ambiental, ya que estos objetivos en su formulación son tan generales y amplios que impiden conocer con mayor certidumbre el efecto ambiental posible del objetivo sobre las problemáticas ambientales identificadas. Es por tanto necesario y responsabilidad desde el punto de vista estrictamente ambiental preguntarse si son necesarios otros objetivos además de los existentes para dar cuenta de forma global de los problemas ambientales del sistema SMAE. En las recomendaciones a continuación se realiza una propuesta en este sentido.</w:t>
      </w:r>
    </w:p>
    <w:p>
      <w:pPr>
        <w:pStyle w:val="BodyText"/>
        <w:spacing w:before="1"/>
      </w:pPr>
    </w:p>
    <w:p>
      <w:pPr>
        <w:pStyle w:val="Heading9"/>
        <w:ind w:right="1054"/>
        <w:jc w:val="both"/>
      </w:pPr>
      <w:r>
        <w:rPr/>
        <w:t>Se considera que el objetivo ambiental principal del PEN debe ser el establecer objetivos ambientales generales, que a través de una definición más operativa y medible, permitan medir el logro que se pretende alcanzar en cuanto a la mejora del perfil ambiental del sistema energético ambiental de la República Dominicana.</w:t>
      </w:r>
    </w:p>
    <w:p>
      <w:pPr>
        <w:pStyle w:val="BodyText"/>
        <w:rPr>
          <w:b/>
        </w:rPr>
      </w:pPr>
    </w:p>
    <w:p>
      <w:pPr>
        <w:pStyle w:val="BodyText"/>
        <w:ind w:left="239" w:right="1055"/>
        <w:jc w:val="both"/>
      </w:pPr>
      <w:r>
        <w:rPr/>
        <w:t>El PEN asume unos objetivos ambientales generales, y si bien estos objetivos están en coherencia con los objetivos de los principales instrumentos internacionales y nacionales es coherente preguntarse si estos objetivos son suficientes para dar cuenta de los problemas ambientales que se han identificado en el sistema energético ambiental actual.</w:t>
      </w:r>
    </w:p>
    <w:p>
      <w:pPr>
        <w:pStyle w:val="BodyText"/>
        <w:spacing w:before="11"/>
        <w:rPr>
          <w:sz w:val="22"/>
        </w:rPr>
      </w:pPr>
    </w:p>
    <w:p>
      <w:pPr>
        <w:pStyle w:val="Heading9"/>
        <w:ind w:right="1057"/>
        <w:jc w:val="both"/>
      </w:pPr>
      <w:r>
        <w:rPr/>
        <w:t>Los objetivos ambientales han de considerarse como un aspecto medular del proceso de planificación, de tal manera que orienten el proceso de formulación del PEN en forma y contenido, orientando la definición de las estrategias y las propuestas para el PEN.</w:t>
      </w:r>
    </w:p>
    <w:p>
      <w:pPr>
        <w:pStyle w:val="BodyText"/>
        <w:spacing w:before="2"/>
        <w:rPr>
          <w:b/>
        </w:rPr>
      </w:pPr>
    </w:p>
    <w:p>
      <w:pPr>
        <w:pStyle w:val="BodyText"/>
        <w:ind w:left="239" w:right="1056"/>
        <w:jc w:val="both"/>
      </w:pPr>
      <w:r>
        <w:rPr/>
        <w:t>Estos objetivos ambientales generales deben incluir los cinco efectos ambientales identificados en el SMAE. Por ello, las recomendaciones aquí propuestas se basan en establecer los objetivos ambientales principales, los cuales se propone debieran ser:</w:t>
      </w:r>
    </w:p>
    <w:p>
      <w:pPr>
        <w:pStyle w:val="Heading9"/>
        <w:numPr>
          <w:ilvl w:val="0"/>
          <w:numId w:val="62"/>
        </w:numPr>
        <w:tabs>
          <w:tab w:pos="960" w:val="left" w:leader="none"/>
        </w:tabs>
        <w:spacing w:line="240" w:lineRule="auto" w:before="121" w:after="0"/>
        <w:ind w:left="960" w:right="0" w:hanging="360"/>
        <w:jc w:val="both"/>
      </w:pPr>
      <w:r>
        <w:rPr/>
        <w:t>Incrementar la eficiencia energética y el ahorro</w:t>
      </w:r>
      <w:r>
        <w:rPr>
          <w:spacing w:val="-7"/>
        </w:rPr>
        <w:t> </w:t>
      </w:r>
      <w:r>
        <w:rPr/>
        <w:t>energético</w:t>
      </w:r>
    </w:p>
    <w:p>
      <w:pPr>
        <w:pStyle w:val="ListParagraph"/>
        <w:numPr>
          <w:ilvl w:val="0"/>
          <w:numId w:val="62"/>
        </w:numPr>
        <w:tabs>
          <w:tab w:pos="960" w:val="left" w:leader="none"/>
        </w:tabs>
        <w:spacing w:line="240" w:lineRule="auto" w:before="117" w:after="0"/>
        <w:ind w:left="959" w:right="0" w:hanging="361"/>
        <w:jc w:val="both"/>
        <w:rPr>
          <w:b/>
          <w:sz w:val="23"/>
        </w:rPr>
      </w:pPr>
      <w:r>
        <w:rPr>
          <w:b/>
          <w:sz w:val="23"/>
        </w:rPr>
        <w:t>Aumentar la sostenibilidad del sistema</w:t>
      </w:r>
      <w:r>
        <w:rPr>
          <w:b/>
          <w:spacing w:val="-3"/>
          <w:sz w:val="23"/>
        </w:rPr>
        <w:t> </w:t>
      </w:r>
      <w:r>
        <w:rPr>
          <w:b/>
          <w:sz w:val="23"/>
        </w:rPr>
        <w:t>energético</w:t>
      </w:r>
    </w:p>
    <w:p>
      <w:pPr>
        <w:pStyle w:val="BodyText"/>
        <w:spacing w:before="115"/>
        <w:ind w:left="239" w:right="1055" w:hanging="1"/>
        <w:jc w:val="both"/>
      </w:pPr>
      <w:r>
        <w:rPr/>
        <w:t>A partir de estos dos objetivos ambientales generales, se han derivado unos objetivos específicos para la República Dominicana, tomando en consideración las especificidades del país así como los objetivos de los principales instrumentos legales de ámbito nacional, los cuales se especifican en la Tabla 5.2.</w:t>
      </w:r>
    </w:p>
    <w:p>
      <w:pPr>
        <w:pStyle w:val="BodyText"/>
        <w:spacing w:before="11"/>
        <w:rPr>
          <w:sz w:val="22"/>
        </w:rPr>
      </w:pPr>
    </w:p>
    <w:p>
      <w:pPr>
        <w:pStyle w:val="BodyText"/>
        <w:ind w:left="239" w:right="1055"/>
        <w:jc w:val="both"/>
      </w:pPr>
      <w:r>
        <w:rPr/>
        <w:t>Finalmente, se proponen una serie de indicadores para esos objetivos ambientales específicos los cuales posibilitarían la medición del avance hacia la consecución de los objetivos ambientales para el PEN 2010-2025.</w:t>
      </w:r>
    </w:p>
    <w:p>
      <w:pPr>
        <w:spacing w:after="0"/>
        <w:jc w:val="both"/>
        <w:sectPr>
          <w:pgSz w:w="12240" w:h="15840"/>
          <w:pgMar w:header="718" w:footer="954" w:top="1360" w:bottom="1140" w:left="1200" w:right="380"/>
        </w:sectPr>
      </w:pPr>
    </w:p>
    <w:p>
      <w:pPr>
        <w:pStyle w:val="BodyText"/>
        <w:spacing w:before="6"/>
        <w:rPr>
          <w:sz w:val="11"/>
        </w:rPr>
      </w:pPr>
    </w:p>
    <w:p>
      <w:pPr>
        <w:pStyle w:val="Heading9"/>
        <w:spacing w:before="100" w:after="3"/>
        <w:ind w:left="2169"/>
        <w:rPr>
          <w:rFonts w:ascii="Verdana"/>
        </w:rPr>
      </w:pPr>
      <w:r>
        <w:rPr>
          <w:rFonts w:ascii="Verdana"/>
        </w:rPr>
        <w:t>Tabla 5.2 - Objetivos ambientales del PEN</w:t>
      </w:r>
    </w:p>
    <w:tbl>
      <w:tblPr>
        <w:tblW w:w="0" w:type="auto"/>
        <w:jc w:val="left"/>
        <w:tblInd w:w="137" w:type="dxa"/>
        <w:tblBorders>
          <w:top w:val="single" w:sz="12" w:space="0" w:color="007F00"/>
          <w:left w:val="single" w:sz="12" w:space="0" w:color="007F00"/>
          <w:bottom w:val="single" w:sz="12" w:space="0" w:color="007F00"/>
          <w:right w:val="single" w:sz="12" w:space="0" w:color="007F00"/>
          <w:insideH w:val="single" w:sz="12" w:space="0" w:color="007F00"/>
          <w:insideV w:val="single" w:sz="12" w:space="0" w:color="007F00"/>
        </w:tblBorders>
        <w:tblLayout w:type="fixed"/>
        <w:tblCellMar>
          <w:top w:w="0" w:type="dxa"/>
          <w:left w:w="0" w:type="dxa"/>
          <w:bottom w:w="0" w:type="dxa"/>
          <w:right w:w="0" w:type="dxa"/>
        </w:tblCellMar>
        <w:tblLook w:val="01E0"/>
      </w:tblPr>
      <w:tblGrid>
        <w:gridCol w:w="1322"/>
        <w:gridCol w:w="213"/>
        <w:gridCol w:w="244"/>
        <w:gridCol w:w="242"/>
        <w:gridCol w:w="999"/>
        <w:gridCol w:w="3026"/>
        <w:gridCol w:w="3024"/>
      </w:tblGrid>
      <w:tr>
        <w:trPr>
          <w:trHeight w:val="217" w:hRule="atLeast"/>
        </w:trPr>
        <w:tc>
          <w:tcPr>
            <w:tcW w:w="3020" w:type="dxa"/>
            <w:gridSpan w:val="5"/>
            <w:tcBorders>
              <w:left w:val="nil"/>
              <w:bottom w:val="single" w:sz="8" w:space="0" w:color="007F00"/>
              <w:right w:val="single" w:sz="8" w:space="0" w:color="007F00"/>
            </w:tcBorders>
          </w:tcPr>
          <w:p>
            <w:pPr>
              <w:pStyle w:val="TableParagraph"/>
              <w:spacing w:line="197" w:lineRule="exact"/>
              <w:ind w:left="496"/>
              <w:rPr>
                <w:b/>
                <w:sz w:val="18"/>
              </w:rPr>
            </w:pPr>
            <w:r>
              <w:rPr>
                <w:b/>
                <w:sz w:val="18"/>
              </w:rPr>
              <w:t>OBJETIVO AMBIENTAL</w:t>
            </w:r>
          </w:p>
        </w:tc>
        <w:tc>
          <w:tcPr>
            <w:tcW w:w="3026" w:type="dxa"/>
            <w:tcBorders>
              <w:left w:val="single" w:sz="8" w:space="0" w:color="007F00"/>
              <w:bottom w:val="single" w:sz="8" w:space="0" w:color="007F00"/>
              <w:right w:val="single" w:sz="8" w:space="0" w:color="007F00"/>
            </w:tcBorders>
          </w:tcPr>
          <w:p>
            <w:pPr>
              <w:pStyle w:val="TableParagraph"/>
              <w:spacing w:line="197" w:lineRule="exact"/>
              <w:ind w:left="492"/>
              <w:rPr>
                <w:b/>
                <w:sz w:val="18"/>
              </w:rPr>
            </w:pPr>
            <w:r>
              <w:rPr>
                <w:b/>
                <w:sz w:val="18"/>
              </w:rPr>
              <w:t>OBJETIVO OPERATIVO</w:t>
            </w:r>
          </w:p>
        </w:tc>
        <w:tc>
          <w:tcPr>
            <w:tcW w:w="3024" w:type="dxa"/>
            <w:tcBorders>
              <w:left w:val="single" w:sz="8" w:space="0" w:color="007F00"/>
              <w:bottom w:val="single" w:sz="8" w:space="0" w:color="007F00"/>
              <w:right w:val="nil"/>
            </w:tcBorders>
          </w:tcPr>
          <w:p>
            <w:pPr>
              <w:pStyle w:val="TableParagraph"/>
              <w:spacing w:line="197" w:lineRule="exact"/>
              <w:ind w:left="967"/>
              <w:rPr>
                <w:b/>
                <w:sz w:val="18"/>
              </w:rPr>
            </w:pPr>
            <w:r>
              <w:rPr>
                <w:b/>
                <w:sz w:val="18"/>
              </w:rPr>
              <w:t>INDICADOR</w:t>
            </w:r>
          </w:p>
        </w:tc>
      </w:tr>
      <w:tr>
        <w:trPr>
          <w:trHeight w:val="1739" w:hRule="atLeast"/>
        </w:trPr>
        <w:tc>
          <w:tcPr>
            <w:tcW w:w="1322" w:type="dxa"/>
            <w:tcBorders>
              <w:top w:val="single" w:sz="8" w:space="0" w:color="007F00"/>
              <w:left w:val="single" w:sz="8" w:space="0" w:color="007F00"/>
              <w:bottom w:val="single" w:sz="8" w:space="0" w:color="007F00"/>
              <w:right w:val="nil"/>
            </w:tcBorders>
          </w:tcPr>
          <w:p>
            <w:pPr>
              <w:pStyle w:val="TableParagraph"/>
              <w:ind w:left="112" w:right="43"/>
              <w:rPr>
                <w:b/>
                <w:sz w:val="18"/>
              </w:rPr>
            </w:pPr>
            <w:r>
              <w:rPr>
                <w:b/>
                <w:sz w:val="18"/>
              </w:rPr>
              <w:t>Incrementar energética energético</w:t>
            </w:r>
          </w:p>
        </w:tc>
        <w:tc>
          <w:tcPr>
            <w:tcW w:w="213" w:type="dxa"/>
            <w:tcBorders>
              <w:top w:val="single" w:sz="8" w:space="0" w:color="007F00"/>
              <w:left w:val="nil"/>
              <w:bottom w:val="single" w:sz="8" w:space="0" w:color="007F00"/>
              <w:right w:val="nil"/>
            </w:tcBorders>
          </w:tcPr>
          <w:p>
            <w:pPr>
              <w:pStyle w:val="TableParagraph"/>
              <w:spacing w:before="11"/>
              <w:rPr>
                <w:rFonts w:ascii="Verdana"/>
                <w:b/>
                <w:sz w:val="17"/>
              </w:rPr>
            </w:pPr>
          </w:p>
          <w:p>
            <w:pPr>
              <w:pStyle w:val="TableParagraph"/>
              <w:ind w:left="89"/>
              <w:rPr>
                <w:b/>
                <w:sz w:val="18"/>
              </w:rPr>
            </w:pPr>
            <w:r>
              <w:rPr>
                <w:b/>
                <w:w w:val="99"/>
                <w:sz w:val="18"/>
              </w:rPr>
              <w:t>y</w:t>
            </w:r>
          </w:p>
        </w:tc>
        <w:tc>
          <w:tcPr>
            <w:tcW w:w="244" w:type="dxa"/>
            <w:tcBorders>
              <w:top w:val="single" w:sz="8" w:space="0" w:color="007F00"/>
              <w:left w:val="nil"/>
              <w:bottom w:val="single" w:sz="8" w:space="0" w:color="007F00"/>
              <w:right w:val="nil"/>
            </w:tcBorders>
          </w:tcPr>
          <w:p>
            <w:pPr>
              <w:pStyle w:val="TableParagraph"/>
              <w:spacing w:line="217" w:lineRule="exact"/>
              <w:ind w:left="49"/>
              <w:rPr>
                <w:b/>
                <w:sz w:val="18"/>
              </w:rPr>
            </w:pPr>
            <w:r>
              <w:rPr>
                <w:b/>
                <w:sz w:val="18"/>
              </w:rPr>
              <w:t>la</w:t>
            </w:r>
          </w:p>
        </w:tc>
        <w:tc>
          <w:tcPr>
            <w:tcW w:w="242" w:type="dxa"/>
            <w:tcBorders>
              <w:top w:val="single" w:sz="8" w:space="0" w:color="007F00"/>
              <w:left w:val="nil"/>
              <w:bottom w:val="single" w:sz="8" w:space="0" w:color="007F00"/>
              <w:right w:val="nil"/>
            </w:tcBorders>
          </w:tcPr>
          <w:p>
            <w:pPr>
              <w:pStyle w:val="TableParagraph"/>
              <w:spacing w:before="11"/>
              <w:rPr>
                <w:rFonts w:ascii="Verdana"/>
                <w:b/>
                <w:sz w:val="17"/>
              </w:rPr>
            </w:pPr>
          </w:p>
          <w:p>
            <w:pPr>
              <w:pStyle w:val="TableParagraph"/>
              <w:ind w:left="62"/>
              <w:rPr>
                <w:b/>
                <w:sz w:val="18"/>
              </w:rPr>
            </w:pPr>
            <w:r>
              <w:rPr>
                <w:b/>
                <w:sz w:val="18"/>
              </w:rPr>
              <w:t>el</w:t>
            </w:r>
          </w:p>
        </w:tc>
        <w:tc>
          <w:tcPr>
            <w:tcW w:w="999" w:type="dxa"/>
            <w:tcBorders>
              <w:top w:val="single" w:sz="8" w:space="0" w:color="007F00"/>
              <w:left w:val="nil"/>
              <w:bottom w:val="single" w:sz="8" w:space="0" w:color="007F00"/>
              <w:right w:val="single" w:sz="8" w:space="0" w:color="007F00"/>
            </w:tcBorders>
          </w:tcPr>
          <w:p>
            <w:pPr>
              <w:pStyle w:val="TableParagraph"/>
              <w:ind w:left="307" w:right="60" w:hanging="257"/>
              <w:rPr>
                <w:b/>
                <w:sz w:val="18"/>
              </w:rPr>
            </w:pPr>
            <w:r>
              <w:rPr>
                <w:b/>
                <w:sz w:val="18"/>
              </w:rPr>
              <w:t>eficiencia ahorro</w:t>
            </w:r>
          </w:p>
        </w:tc>
        <w:tc>
          <w:tcPr>
            <w:tcW w:w="3026" w:type="dxa"/>
            <w:tcBorders>
              <w:top w:val="single" w:sz="8" w:space="0" w:color="007F00"/>
              <w:left w:val="single" w:sz="8" w:space="0" w:color="007F00"/>
              <w:bottom w:val="single" w:sz="8" w:space="0" w:color="007F00"/>
              <w:right w:val="single" w:sz="8" w:space="0" w:color="007F00"/>
            </w:tcBorders>
          </w:tcPr>
          <w:p>
            <w:pPr>
              <w:pStyle w:val="TableParagraph"/>
              <w:numPr>
                <w:ilvl w:val="0"/>
                <w:numId w:val="64"/>
              </w:numPr>
              <w:tabs>
                <w:tab w:pos="567" w:val="left" w:leader="none"/>
                <w:tab w:pos="568" w:val="left" w:leader="none"/>
              </w:tabs>
              <w:spacing w:line="240" w:lineRule="auto" w:before="0" w:after="0"/>
              <w:ind w:left="567" w:right="89" w:hanging="454"/>
              <w:jc w:val="left"/>
              <w:rPr>
                <w:sz w:val="18"/>
              </w:rPr>
            </w:pPr>
            <w:r>
              <w:rPr>
                <w:sz w:val="18"/>
              </w:rPr>
              <w:t>Aumentar las medidas de</w:t>
            </w:r>
            <w:r>
              <w:rPr>
                <w:spacing w:val="-13"/>
                <w:sz w:val="18"/>
              </w:rPr>
              <w:t> </w:t>
            </w:r>
            <w:r>
              <w:rPr>
                <w:sz w:val="18"/>
              </w:rPr>
              <w:t>uso racional de la energía (URE) hasta alcanzar un ahorro del 20% del consumo final de energía</w:t>
            </w:r>
          </w:p>
          <w:p>
            <w:pPr>
              <w:pStyle w:val="TableParagraph"/>
              <w:numPr>
                <w:ilvl w:val="0"/>
                <w:numId w:val="64"/>
              </w:numPr>
              <w:tabs>
                <w:tab w:pos="567" w:val="left" w:leader="none"/>
                <w:tab w:pos="568" w:val="left" w:leader="none"/>
              </w:tabs>
              <w:spacing w:line="218" w:lineRule="exact" w:before="3" w:after="0"/>
              <w:ind w:left="567" w:right="109" w:hanging="454"/>
              <w:jc w:val="left"/>
              <w:rPr>
                <w:sz w:val="18"/>
              </w:rPr>
            </w:pPr>
            <w:r>
              <w:rPr>
                <w:sz w:val="18"/>
              </w:rPr>
              <w:t>Reducir en 50% el consumo de bunker C para electricidad (2012)</w:t>
            </w:r>
          </w:p>
        </w:tc>
        <w:tc>
          <w:tcPr>
            <w:tcW w:w="3024" w:type="dxa"/>
            <w:tcBorders>
              <w:top w:val="single" w:sz="8" w:space="0" w:color="007F00"/>
              <w:left w:val="single" w:sz="8" w:space="0" w:color="007F00"/>
              <w:bottom w:val="single" w:sz="8" w:space="0" w:color="007F00"/>
              <w:right w:val="single" w:sz="8" w:space="0" w:color="007F00"/>
            </w:tcBorders>
          </w:tcPr>
          <w:p>
            <w:pPr>
              <w:pStyle w:val="TableParagraph"/>
              <w:numPr>
                <w:ilvl w:val="0"/>
                <w:numId w:val="65"/>
              </w:numPr>
              <w:tabs>
                <w:tab w:pos="568" w:val="left" w:leader="none"/>
                <w:tab w:pos="569" w:val="left" w:leader="none"/>
              </w:tabs>
              <w:spacing w:line="240" w:lineRule="auto" w:before="0" w:after="0"/>
              <w:ind w:left="568" w:right="592" w:hanging="454"/>
              <w:jc w:val="left"/>
              <w:rPr>
                <w:sz w:val="18"/>
              </w:rPr>
            </w:pPr>
            <w:r>
              <w:rPr>
                <w:sz w:val="18"/>
              </w:rPr>
              <w:t>Ecoeficiencia del sector energético</w:t>
            </w:r>
          </w:p>
          <w:p>
            <w:pPr>
              <w:pStyle w:val="TableParagraph"/>
              <w:numPr>
                <w:ilvl w:val="0"/>
                <w:numId w:val="65"/>
              </w:numPr>
              <w:tabs>
                <w:tab w:pos="568" w:val="left" w:leader="none"/>
                <w:tab w:pos="569" w:val="left" w:leader="none"/>
              </w:tabs>
              <w:spacing w:line="240" w:lineRule="auto" w:before="0" w:after="0"/>
              <w:ind w:left="568" w:right="751" w:hanging="454"/>
              <w:jc w:val="left"/>
              <w:rPr>
                <w:sz w:val="18"/>
              </w:rPr>
            </w:pPr>
            <w:r>
              <w:rPr>
                <w:sz w:val="18"/>
              </w:rPr>
              <w:t>Índice de intensidad energética por</w:t>
            </w:r>
            <w:r>
              <w:rPr>
                <w:spacing w:val="-13"/>
                <w:sz w:val="18"/>
              </w:rPr>
              <w:t> </w:t>
            </w:r>
            <w:r>
              <w:rPr>
                <w:sz w:val="18"/>
              </w:rPr>
              <w:t>sector</w:t>
            </w:r>
          </w:p>
          <w:p>
            <w:pPr>
              <w:pStyle w:val="TableParagraph"/>
              <w:numPr>
                <w:ilvl w:val="0"/>
                <w:numId w:val="65"/>
              </w:numPr>
              <w:tabs>
                <w:tab w:pos="568" w:val="left" w:leader="none"/>
                <w:tab w:pos="569" w:val="left" w:leader="none"/>
              </w:tabs>
              <w:spacing w:line="237" w:lineRule="auto" w:before="0" w:after="0"/>
              <w:ind w:left="568" w:right="392" w:hanging="454"/>
              <w:jc w:val="left"/>
              <w:rPr>
                <w:sz w:val="18"/>
              </w:rPr>
            </w:pPr>
            <w:r>
              <w:rPr>
                <w:sz w:val="18"/>
              </w:rPr>
              <w:t>Consumo total de</w:t>
            </w:r>
            <w:r>
              <w:rPr>
                <w:spacing w:val="-13"/>
                <w:sz w:val="18"/>
              </w:rPr>
              <w:t> </w:t>
            </w:r>
            <w:r>
              <w:rPr>
                <w:sz w:val="18"/>
              </w:rPr>
              <w:t>energía por tipo de</w:t>
            </w:r>
            <w:r>
              <w:rPr>
                <w:spacing w:val="-5"/>
                <w:sz w:val="18"/>
              </w:rPr>
              <w:t> </w:t>
            </w:r>
            <w:r>
              <w:rPr>
                <w:sz w:val="18"/>
              </w:rPr>
              <w:t>combustible</w:t>
            </w:r>
          </w:p>
        </w:tc>
      </w:tr>
      <w:tr>
        <w:trPr>
          <w:trHeight w:val="3037" w:hRule="atLeast"/>
        </w:trPr>
        <w:tc>
          <w:tcPr>
            <w:tcW w:w="3020" w:type="dxa"/>
            <w:gridSpan w:val="5"/>
            <w:vMerge w:val="restart"/>
            <w:tcBorders>
              <w:top w:val="single" w:sz="8" w:space="0" w:color="007F00"/>
              <w:left w:val="single" w:sz="8" w:space="0" w:color="007F00"/>
              <w:bottom w:val="single" w:sz="8" w:space="0" w:color="007F00"/>
              <w:right w:val="single" w:sz="8" w:space="0" w:color="007F00"/>
            </w:tcBorders>
          </w:tcPr>
          <w:p>
            <w:pPr>
              <w:pStyle w:val="TableParagraph"/>
              <w:spacing w:line="237" w:lineRule="auto"/>
              <w:ind w:left="112" w:hanging="1"/>
              <w:rPr>
                <w:b/>
                <w:sz w:val="18"/>
              </w:rPr>
            </w:pPr>
            <w:r>
              <w:rPr>
                <w:b/>
                <w:sz w:val="18"/>
              </w:rPr>
              <w:t>Aumentar la sostenibilidad del sistema energético</w:t>
            </w:r>
          </w:p>
        </w:tc>
        <w:tc>
          <w:tcPr>
            <w:tcW w:w="3026" w:type="dxa"/>
            <w:tcBorders>
              <w:top w:val="single" w:sz="8" w:space="0" w:color="007F00"/>
              <w:left w:val="single" w:sz="8" w:space="0" w:color="007F00"/>
              <w:bottom w:val="single" w:sz="8" w:space="0" w:color="007F00"/>
              <w:right w:val="single" w:sz="8" w:space="0" w:color="007F00"/>
            </w:tcBorders>
          </w:tcPr>
          <w:p>
            <w:pPr>
              <w:pStyle w:val="TableParagraph"/>
              <w:numPr>
                <w:ilvl w:val="0"/>
                <w:numId w:val="66"/>
              </w:numPr>
              <w:tabs>
                <w:tab w:pos="567" w:val="left" w:leader="none"/>
                <w:tab w:pos="568" w:val="left" w:leader="none"/>
              </w:tabs>
              <w:spacing w:line="240" w:lineRule="auto" w:before="0" w:after="0"/>
              <w:ind w:left="567" w:right="117" w:hanging="454"/>
              <w:jc w:val="left"/>
              <w:rPr>
                <w:sz w:val="18"/>
              </w:rPr>
            </w:pPr>
            <w:r>
              <w:rPr>
                <w:sz w:val="18"/>
              </w:rPr>
              <w:t>Incrementar la aplicación de energías renovables y limpias. Objetivos: para 2015: 22% de la energía consumida proveniente de fuentes renovables; 5.2% de los hogares reducirán su uso de combustibles fósiles;</w:t>
            </w:r>
            <w:r>
              <w:rPr>
                <w:spacing w:val="-13"/>
                <w:sz w:val="18"/>
              </w:rPr>
              <w:t> </w:t>
            </w:r>
            <w:r>
              <w:rPr>
                <w:sz w:val="18"/>
              </w:rPr>
              <w:t>10% participación en mercado de proyectos renovables; 40% mercado de energía</w:t>
            </w:r>
            <w:r>
              <w:rPr>
                <w:spacing w:val="-4"/>
                <w:sz w:val="18"/>
              </w:rPr>
              <w:t> </w:t>
            </w:r>
            <w:r>
              <w:rPr>
                <w:sz w:val="18"/>
              </w:rPr>
              <w:t>limpia</w:t>
            </w:r>
          </w:p>
          <w:p>
            <w:pPr>
              <w:pStyle w:val="TableParagraph"/>
              <w:numPr>
                <w:ilvl w:val="0"/>
                <w:numId w:val="66"/>
              </w:numPr>
              <w:tabs>
                <w:tab w:pos="567" w:val="left" w:leader="none"/>
                <w:tab w:pos="568" w:val="left" w:leader="none"/>
              </w:tabs>
              <w:spacing w:line="217" w:lineRule="exact" w:before="0" w:after="0"/>
              <w:ind w:left="567" w:right="0" w:hanging="454"/>
              <w:jc w:val="left"/>
              <w:rPr>
                <w:sz w:val="18"/>
              </w:rPr>
            </w:pPr>
            <w:r>
              <w:rPr>
                <w:sz w:val="18"/>
              </w:rPr>
              <w:t>Sustituir importaciones</w:t>
            </w:r>
            <w:r>
              <w:rPr>
                <w:spacing w:val="-4"/>
                <w:sz w:val="18"/>
              </w:rPr>
              <w:t> </w:t>
            </w:r>
            <w:r>
              <w:rPr>
                <w:sz w:val="18"/>
              </w:rPr>
              <w:t>de</w:t>
            </w:r>
          </w:p>
          <w:p>
            <w:pPr>
              <w:pStyle w:val="TableParagraph"/>
              <w:spacing w:line="216" w:lineRule="exact"/>
              <w:ind w:left="567" w:right="599"/>
              <w:rPr>
                <w:sz w:val="18"/>
              </w:rPr>
            </w:pPr>
            <w:r>
              <w:rPr>
                <w:sz w:val="18"/>
              </w:rPr>
              <w:t>petróleo por mezcla de etanol local</w:t>
            </w:r>
          </w:p>
        </w:tc>
        <w:tc>
          <w:tcPr>
            <w:tcW w:w="3024" w:type="dxa"/>
            <w:tcBorders>
              <w:top w:val="single" w:sz="8" w:space="0" w:color="007F00"/>
              <w:left w:val="single" w:sz="8" w:space="0" w:color="007F00"/>
              <w:bottom w:val="single" w:sz="8" w:space="0" w:color="007F00"/>
              <w:right w:val="single" w:sz="8" w:space="0" w:color="007F00"/>
            </w:tcBorders>
          </w:tcPr>
          <w:p>
            <w:pPr>
              <w:pStyle w:val="TableParagraph"/>
              <w:numPr>
                <w:ilvl w:val="0"/>
                <w:numId w:val="67"/>
              </w:numPr>
              <w:tabs>
                <w:tab w:pos="568" w:val="left" w:leader="none"/>
                <w:tab w:pos="569" w:val="left" w:leader="none"/>
              </w:tabs>
              <w:spacing w:line="240" w:lineRule="auto" w:before="0" w:after="0"/>
              <w:ind w:left="568" w:right="499" w:hanging="454"/>
              <w:jc w:val="left"/>
              <w:rPr>
                <w:sz w:val="18"/>
              </w:rPr>
            </w:pPr>
            <w:r>
              <w:rPr>
                <w:sz w:val="18"/>
              </w:rPr>
              <w:t>Producción de energía renovable por fuentes (eólica, solar,</w:t>
            </w:r>
            <w:r>
              <w:rPr>
                <w:spacing w:val="-13"/>
                <w:sz w:val="18"/>
              </w:rPr>
              <w:t> </w:t>
            </w:r>
            <w:r>
              <w:rPr>
                <w:sz w:val="18"/>
              </w:rPr>
              <w:t>hidráulica, etc.)</w:t>
            </w:r>
          </w:p>
          <w:p>
            <w:pPr>
              <w:pStyle w:val="TableParagraph"/>
              <w:numPr>
                <w:ilvl w:val="0"/>
                <w:numId w:val="67"/>
              </w:numPr>
              <w:tabs>
                <w:tab w:pos="568" w:val="left" w:leader="none"/>
                <w:tab w:pos="569" w:val="left" w:leader="none"/>
              </w:tabs>
              <w:spacing w:line="237" w:lineRule="auto" w:before="0" w:after="0"/>
              <w:ind w:left="568" w:right="416" w:hanging="454"/>
              <w:jc w:val="left"/>
              <w:rPr>
                <w:sz w:val="18"/>
              </w:rPr>
            </w:pPr>
            <w:r>
              <w:rPr>
                <w:sz w:val="18"/>
              </w:rPr>
              <w:t>Consumo de energía renovable respecto al consumo total de</w:t>
            </w:r>
            <w:r>
              <w:rPr>
                <w:spacing w:val="-11"/>
                <w:sz w:val="18"/>
              </w:rPr>
              <w:t> </w:t>
            </w:r>
            <w:r>
              <w:rPr>
                <w:sz w:val="18"/>
              </w:rPr>
              <w:t>energía</w:t>
            </w:r>
          </w:p>
        </w:tc>
      </w:tr>
      <w:tr>
        <w:trPr>
          <w:trHeight w:val="1299" w:hRule="atLeast"/>
        </w:trPr>
        <w:tc>
          <w:tcPr>
            <w:tcW w:w="3020" w:type="dxa"/>
            <w:gridSpan w:val="5"/>
            <w:vMerge/>
            <w:tcBorders>
              <w:top w:val="nil"/>
              <w:left w:val="single" w:sz="8" w:space="0" w:color="007F00"/>
              <w:bottom w:val="single" w:sz="8" w:space="0" w:color="007F00"/>
              <w:right w:val="single" w:sz="8" w:space="0" w:color="007F00"/>
            </w:tcBorders>
          </w:tcPr>
          <w:p>
            <w:pPr>
              <w:rPr>
                <w:sz w:val="2"/>
                <w:szCs w:val="2"/>
              </w:rPr>
            </w:pPr>
          </w:p>
        </w:tc>
        <w:tc>
          <w:tcPr>
            <w:tcW w:w="3026" w:type="dxa"/>
            <w:tcBorders>
              <w:top w:val="single" w:sz="8" w:space="0" w:color="007F00"/>
              <w:left w:val="single" w:sz="8" w:space="0" w:color="007F00"/>
              <w:bottom w:val="single" w:sz="8" w:space="0" w:color="007F00"/>
              <w:right w:val="single" w:sz="8" w:space="0" w:color="007F00"/>
            </w:tcBorders>
          </w:tcPr>
          <w:p>
            <w:pPr>
              <w:pStyle w:val="TableParagraph"/>
              <w:numPr>
                <w:ilvl w:val="0"/>
                <w:numId w:val="68"/>
              </w:numPr>
              <w:tabs>
                <w:tab w:pos="473" w:val="left" w:leader="none"/>
                <w:tab w:pos="474" w:val="left" w:leader="none"/>
              </w:tabs>
              <w:spacing w:line="237" w:lineRule="auto" w:before="0" w:after="0"/>
              <w:ind w:left="473" w:right="284" w:hanging="360"/>
              <w:jc w:val="left"/>
              <w:rPr>
                <w:sz w:val="18"/>
              </w:rPr>
            </w:pPr>
            <w:r>
              <w:rPr>
                <w:sz w:val="18"/>
              </w:rPr>
              <w:t>Mantener adecuados</w:t>
            </w:r>
            <w:r>
              <w:rPr>
                <w:spacing w:val="-14"/>
                <w:sz w:val="18"/>
              </w:rPr>
              <w:t> </w:t>
            </w:r>
            <w:r>
              <w:rPr>
                <w:sz w:val="18"/>
              </w:rPr>
              <w:t>niveles de calidad del aire y el</w:t>
            </w:r>
            <w:r>
              <w:rPr>
                <w:spacing w:val="-11"/>
                <w:sz w:val="18"/>
              </w:rPr>
              <w:t> </w:t>
            </w:r>
            <w:r>
              <w:rPr>
                <w:sz w:val="18"/>
              </w:rPr>
              <w:t>ruido</w:t>
            </w:r>
          </w:p>
        </w:tc>
        <w:tc>
          <w:tcPr>
            <w:tcW w:w="3024" w:type="dxa"/>
            <w:tcBorders>
              <w:top w:val="single" w:sz="8" w:space="0" w:color="007F00"/>
              <w:left w:val="single" w:sz="8" w:space="0" w:color="007F00"/>
              <w:bottom w:val="single" w:sz="8" w:space="0" w:color="007F00"/>
              <w:right w:val="single" w:sz="8" w:space="0" w:color="007F00"/>
            </w:tcBorders>
          </w:tcPr>
          <w:p>
            <w:pPr>
              <w:pStyle w:val="TableParagraph"/>
              <w:numPr>
                <w:ilvl w:val="0"/>
                <w:numId w:val="69"/>
              </w:numPr>
              <w:tabs>
                <w:tab w:pos="567" w:val="left" w:leader="none"/>
                <w:tab w:pos="568" w:val="left" w:leader="none"/>
              </w:tabs>
              <w:spacing w:line="240" w:lineRule="auto" w:before="0" w:after="0"/>
              <w:ind w:left="567" w:right="104" w:hanging="454"/>
              <w:jc w:val="left"/>
              <w:rPr>
                <w:sz w:val="18"/>
              </w:rPr>
            </w:pPr>
            <w:r>
              <w:rPr>
                <w:sz w:val="18"/>
              </w:rPr>
              <w:t>Niveles de contaminación del aire en zonas de concentración urbana para los principales</w:t>
            </w:r>
            <w:r>
              <w:rPr>
                <w:spacing w:val="-13"/>
                <w:sz w:val="18"/>
              </w:rPr>
              <w:t> </w:t>
            </w:r>
            <w:r>
              <w:rPr>
                <w:sz w:val="18"/>
              </w:rPr>
              <w:t>contaminantes</w:t>
            </w:r>
          </w:p>
          <w:p>
            <w:pPr>
              <w:pStyle w:val="TableParagraph"/>
              <w:numPr>
                <w:ilvl w:val="0"/>
                <w:numId w:val="69"/>
              </w:numPr>
              <w:tabs>
                <w:tab w:pos="567" w:val="left" w:leader="none"/>
                <w:tab w:pos="568" w:val="left" w:leader="none"/>
              </w:tabs>
              <w:spacing w:line="218" w:lineRule="exact" w:before="0" w:after="0"/>
              <w:ind w:left="567" w:right="152" w:hanging="454"/>
              <w:jc w:val="left"/>
              <w:rPr>
                <w:sz w:val="18"/>
              </w:rPr>
            </w:pPr>
            <w:r>
              <w:rPr>
                <w:sz w:val="18"/>
              </w:rPr>
              <w:t>Niveles de ruido en zonas</w:t>
            </w:r>
            <w:r>
              <w:rPr>
                <w:spacing w:val="-12"/>
                <w:sz w:val="18"/>
              </w:rPr>
              <w:t> </w:t>
            </w:r>
            <w:r>
              <w:rPr>
                <w:sz w:val="18"/>
              </w:rPr>
              <w:t>de concentración</w:t>
            </w:r>
            <w:r>
              <w:rPr>
                <w:spacing w:val="-2"/>
                <w:sz w:val="18"/>
              </w:rPr>
              <w:t> </w:t>
            </w:r>
            <w:r>
              <w:rPr>
                <w:sz w:val="18"/>
              </w:rPr>
              <w:t>urbana</w:t>
            </w:r>
          </w:p>
        </w:tc>
      </w:tr>
      <w:tr>
        <w:trPr>
          <w:trHeight w:val="862" w:hRule="atLeast"/>
        </w:trPr>
        <w:tc>
          <w:tcPr>
            <w:tcW w:w="3020" w:type="dxa"/>
            <w:gridSpan w:val="5"/>
            <w:vMerge/>
            <w:tcBorders>
              <w:top w:val="nil"/>
              <w:left w:val="single" w:sz="8" w:space="0" w:color="007F00"/>
              <w:bottom w:val="single" w:sz="8" w:space="0" w:color="007F00"/>
              <w:right w:val="single" w:sz="8" w:space="0" w:color="007F00"/>
            </w:tcBorders>
          </w:tcPr>
          <w:p>
            <w:pPr>
              <w:rPr>
                <w:sz w:val="2"/>
                <w:szCs w:val="2"/>
              </w:rPr>
            </w:pPr>
          </w:p>
        </w:tc>
        <w:tc>
          <w:tcPr>
            <w:tcW w:w="3026" w:type="dxa"/>
            <w:tcBorders>
              <w:top w:val="single" w:sz="8" w:space="0" w:color="007F00"/>
              <w:left w:val="single" w:sz="8" w:space="0" w:color="007F00"/>
              <w:bottom w:val="single" w:sz="8" w:space="0" w:color="007F00"/>
              <w:right w:val="single" w:sz="8" w:space="0" w:color="007F00"/>
            </w:tcBorders>
          </w:tcPr>
          <w:p>
            <w:pPr>
              <w:pStyle w:val="TableParagraph"/>
              <w:numPr>
                <w:ilvl w:val="0"/>
                <w:numId w:val="70"/>
              </w:numPr>
              <w:tabs>
                <w:tab w:pos="473" w:val="left" w:leader="none"/>
                <w:tab w:pos="474" w:val="left" w:leader="none"/>
              </w:tabs>
              <w:spacing w:line="237" w:lineRule="auto" w:before="0" w:after="0"/>
              <w:ind w:left="473" w:right="251" w:hanging="360"/>
              <w:jc w:val="left"/>
              <w:rPr>
                <w:sz w:val="18"/>
              </w:rPr>
            </w:pPr>
            <w:r>
              <w:rPr>
                <w:sz w:val="18"/>
              </w:rPr>
              <w:t>Reducir la contaminación</w:t>
            </w:r>
            <w:r>
              <w:rPr>
                <w:spacing w:val="-14"/>
                <w:sz w:val="18"/>
              </w:rPr>
              <w:t> </w:t>
            </w:r>
            <w:r>
              <w:rPr>
                <w:sz w:val="18"/>
              </w:rPr>
              <w:t>del suelo y del</w:t>
            </w:r>
            <w:r>
              <w:rPr>
                <w:spacing w:val="-2"/>
                <w:sz w:val="18"/>
              </w:rPr>
              <w:t> </w:t>
            </w:r>
            <w:r>
              <w:rPr>
                <w:sz w:val="18"/>
              </w:rPr>
              <w:t>agua</w:t>
            </w:r>
          </w:p>
        </w:tc>
        <w:tc>
          <w:tcPr>
            <w:tcW w:w="3024" w:type="dxa"/>
            <w:tcBorders>
              <w:top w:val="single" w:sz="8" w:space="0" w:color="007F00"/>
              <w:left w:val="single" w:sz="8" w:space="0" w:color="007F00"/>
              <w:bottom w:val="single" w:sz="8" w:space="0" w:color="007F00"/>
              <w:right w:val="single" w:sz="8" w:space="0" w:color="007F00"/>
            </w:tcBorders>
          </w:tcPr>
          <w:p>
            <w:pPr>
              <w:pStyle w:val="TableParagraph"/>
              <w:numPr>
                <w:ilvl w:val="0"/>
                <w:numId w:val="71"/>
              </w:numPr>
              <w:tabs>
                <w:tab w:pos="567" w:val="left" w:leader="none"/>
                <w:tab w:pos="568" w:val="left" w:leader="none"/>
              </w:tabs>
              <w:spacing w:line="237" w:lineRule="auto" w:before="0" w:after="0"/>
              <w:ind w:left="567" w:right="263" w:hanging="454"/>
              <w:jc w:val="left"/>
              <w:rPr>
                <w:sz w:val="18"/>
              </w:rPr>
            </w:pPr>
            <w:r>
              <w:rPr>
                <w:sz w:val="18"/>
              </w:rPr>
              <w:t>Nº ó Superficie de suelos contaminados</w:t>
            </w:r>
            <w:r>
              <w:rPr>
                <w:spacing w:val="-1"/>
                <w:sz w:val="18"/>
              </w:rPr>
              <w:t> </w:t>
            </w:r>
            <w:r>
              <w:rPr>
                <w:sz w:val="18"/>
              </w:rPr>
              <w:t>por</w:t>
            </w:r>
          </w:p>
          <w:p>
            <w:pPr>
              <w:pStyle w:val="TableParagraph"/>
              <w:spacing w:line="216" w:lineRule="exact" w:before="2"/>
              <w:ind w:left="567" w:right="207"/>
              <w:rPr>
                <w:sz w:val="18"/>
              </w:rPr>
            </w:pPr>
            <w:r>
              <w:rPr>
                <w:sz w:val="18"/>
              </w:rPr>
              <w:t>hidrocarburos, y/o residuos de la generación de energía</w:t>
            </w:r>
          </w:p>
        </w:tc>
      </w:tr>
      <w:tr>
        <w:trPr>
          <w:trHeight w:val="1299" w:hRule="atLeast"/>
        </w:trPr>
        <w:tc>
          <w:tcPr>
            <w:tcW w:w="3020" w:type="dxa"/>
            <w:gridSpan w:val="5"/>
            <w:vMerge/>
            <w:tcBorders>
              <w:top w:val="nil"/>
              <w:left w:val="single" w:sz="8" w:space="0" w:color="007F00"/>
              <w:bottom w:val="single" w:sz="8" w:space="0" w:color="007F00"/>
              <w:right w:val="single" w:sz="8" w:space="0" w:color="007F00"/>
            </w:tcBorders>
          </w:tcPr>
          <w:p>
            <w:pPr>
              <w:rPr>
                <w:sz w:val="2"/>
                <w:szCs w:val="2"/>
              </w:rPr>
            </w:pPr>
          </w:p>
        </w:tc>
        <w:tc>
          <w:tcPr>
            <w:tcW w:w="3026" w:type="dxa"/>
            <w:tcBorders>
              <w:top w:val="single" w:sz="8" w:space="0" w:color="007F00"/>
              <w:left w:val="single" w:sz="8" w:space="0" w:color="007F00"/>
              <w:bottom w:val="single" w:sz="8" w:space="0" w:color="007F00"/>
              <w:right w:val="single" w:sz="8" w:space="0" w:color="007F00"/>
            </w:tcBorders>
          </w:tcPr>
          <w:p>
            <w:pPr>
              <w:pStyle w:val="TableParagraph"/>
              <w:numPr>
                <w:ilvl w:val="0"/>
                <w:numId w:val="72"/>
              </w:numPr>
              <w:tabs>
                <w:tab w:pos="473" w:val="left" w:leader="none"/>
                <w:tab w:pos="474" w:val="left" w:leader="none"/>
              </w:tabs>
              <w:spacing w:line="240" w:lineRule="auto" w:before="0" w:after="0"/>
              <w:ind w:left="473" w:right="104" w:hanging="360"/>
              <w:jc w:val="left"/>
              <w:rPr>
                <w:sz w:val="18"/>
              </w:rPr>
            </w:pPr>
            <w:r>
              <w:rPr>
                <w:sz w:val="18"/>
              </w:rPr>
              <w:t>Disminuir (o limitación del crecimiento de) las emisiones de gases de efecto invernadero (GEI): objetivo</w:t>
            </w:r>
            <w:r>
              <w:rPr>
                <w:spacing w:val="-14"/>
                <w:sz w:val="18"/>
              </w:rPr>
              <w:t> </w:t>
            </w:r>
            <w:r>
              <w:rPr>
                <w:sz w:val="18"/>
              </w:rPr>
              <w:t>de</w:t>
            </w:r>
          </w:p>
          <w:p>
            <w:pPr>
              <w:pStyle w:val="TableParagraph"/>
              <w:spacing w:line="216" w:lineRule="exact"/>
              <w:ind w:left="473" w:right="426"/>
              <w:rPr>
                <w:sz w:val="18"/>
              </w:rPr>
            </w:pPr>
            <w:r>
              <w:rPr>
                <w:sz w:val="18"/>
              </w:rPr>
              <w:t>reducción del 15% para el 2020</w:t>
            </w:r>
          </w:p>
        </w:tc>
        <w:tc>
          <w:tcPr>
            <w:tcW w:w="3024" w:type="dxa"/>
            <w:tcBorders>
              <w:top w:val="single" w:sz="8" w:space="0" w:color="007F00"/>
              <w:left w:val="single" w:sz="8" w:space="0" w:color="007F00"/>
              <w:bottom w:val="single" w:sz="8" w:space="0" w:color="007F00"/>
              <w:right w:val="single" w:sz="8" w:space="0" w:color="007F00"/>
            </w:tcBorders>
          </w:tcPr>
          <w:p>
            <w:pPr>
              <w:pStyle w:val="TableParagraph"/>
              <w:numPr>
                <w:ilvl w:val="0"/>
                <w:numId w:val="73"/>
              </w:numPr>
              <w:tabs>
                <w:tab w:pos="568" w:val="left" w:leader="none"/>
              </w:tabs>
              <w:spacing w:line="237" w:lineRule="auto" w:before="0" w:after="0"/>
              <w:ind w:left="567" w:right="175" w:hanging="454"/>
              <w:jc w:val="both"/>
              <w:rPr>
                <w:sz w:val="18"/>
              </w:rPr>
            </w:pPr>
            <w:r>
              <w:rPr>
                <w:sz w:val="18"/>
              </w:rPr>
              <w:t>Emisiones totales de GEI</w:t>
            </w:r>
            <w:r>
              <w:rPr>
                <w:spacing w:val="-12"/>
                <w:sz w:val="18"/>
              </w:rPr>
              <w:t> </w:t>
            </w:r>
            <w:r>
              <w:rPr>
                <w:sz w:val="18"/>
              </w:rPr>
              <w:t>del sector</w:t>
            </w:r>
            <w:r>
              <w:rPr>
                <w:spacing w:val="-2"/>
                <w:sz w:val="18"/>
              </w:rPr>
              <w:t> </w:t>
            </w:r>
            <w:r>
              <w:rPr>
                <w:sz w:val="18"/>
              </w:rPr>
              <w:t>energético</w:t>
            </w:r>
          </w:p>
          <w:p>
            <w:pPr>
              <w:pStyle w:val="TableParagraph"/>
              <w:numPr>
                <w:ilvl w:val="0"/>
                <w:numId w:val="73"/>
              </w:numPr>
              <w:tabs>
                <w:tab w:pos="568" w:val="left" w:leader="none"/>
              </w:tabs>
              <w:spacing w:line="240" w:lineRule="auto" w:before="0" w:after="0"/>
              <w:ind w:left="567" w:right="230" w:hanging="454"/>
              <w:jc w:val="both"/>
              <w:rPr>
                <w:sz w:val="18"/>
              </w:rPr>
            </w:pPr>
            <w:r>
              <w:rPr>
                <w:sz w:val="18"/>
              </w:rPr>
              <w:t>Reducción de emisiones de SO</w:t>
            </w:r>
            <w:r>
              <w:rPr>
                <w:sz w:val="18"/>
                <w:vertAlign w:val="subscript"/>
              </w:rPr>
              <w:t>2</w:t>
            </w:r>
            <w:r>
              <w:rPr>
                <w:sz w:val="18"/>
                <w:vertAlign w:val="baseline"/>
              </w:rPr>
              <w:t>, NO</w:t>
            </w:r>
            <w:r>
              <w:rPr>
                <w:sz w:val="18"/>
                <w:vertAlign w:val="subscript"/>
              </w:rPr>
              <w:t>X</w:t>
            </w:r>
            <w:r>
              <w:rPr>
                <w:sz w:val="18"/>
                <w:vertAlign w:val="baseline"/>
              </w:rPr>
              <w:t> y CO</w:t>
            </w:r>
            <w:r>
              <w:rPr>
                <w:sz w:val="18"/>
                <w:vertAlign w:val="subscript"/>
              </w:rPr>
              <w:t>2</w:t>
            </w:r>
            <w:r>
              <w:rPr>
                <w:sz w:val="18"/>
                <w:vertAlign w:val="baseline"/>
              </w:rPr>
              <w:t> en el sector eléctrico</w:t>
            </w:r>
          </w:p>
        </w:tc>
      </w:tr>
      <w:tr>
        <w:trPr>
          <w:trHeight w:val="1299" w:hRule="atLeast"/>
        </w:trPr>
        <w:tc>
          <w:tcPr>
            <w:tcW w:w="3020" w:type="dxa"/>
            <w:gridSpan w:val="5"/>
            <w:vMerge/>
            <w:tcBorders>
              <w:top w:val="nil"/>
              <w:left w:val="single" w:sz="8" w:space="0" w:color="007F00"/>
              <w:bottom w:val="single" w:sz="8" w:space="0" w:color="007F00"/>
              <w:right w:val="single" w:sz="8" w:space="0" w:color="007F00"/>
            </w:tcBorders>
          </w:tcPr>
          <w:p>
            <w:pPr>
              <w:rPr>
                <w:sz w:val="2"/>
                <w:szCs w:val="2"/>
              </w:rPr>
            </w:pPr>
          </w:p>
        </w:tc>
        <w:tc>
          <w:tcPr>
            <w:tcW w:w="3026" w:type="dxa"/>
            <w:tcBorders>
              <w:top w:val="single" w:sz="8" w:space="0" w:color="007F00"/>
              <w:left w:val="single" w:sz="8" w:space="0" w:color="007F00"/>
              <w:bottom w:val="single" w:sz="8" w:space="0" w:color="007F00"/>
              <w:right w:val="single" w:sz="8" w:space="0" w:color="007F00"/>
            </w:tcBorders>
          </w:tcPr>
          <w:p>
            <w:pPr>
              <w:pStyle w:val="TableParagraph"/>
              <w:numPr>
                <w:ilvl w:val="0"/>
                <w:numId w:val="74"/>
              </w:numPr>
              <w:tabs>
                <w:tab w:pos="473" w:val="left" w:leader="none"/>
                <w:tab w:pos="474" w:val="left" w:leader="none"/>
              </w:tabs>
              <w:spacing w:line="240" w:lineRule="auto" w:before="0" w:after="0"/>
              <w:ind w:left="473" w:right="107" w:hanging="360"/>
              <w:jc w:val="left"/>
              <w:rPr>
                <w:sz w:val="18"/>
              </w:rPr>
            </w:pPr>
            <w:r>
              <w:rPr>
                <w:sz w:val="18"/>
              </w:rPr>
              <w:t>Disminuir las emisiones de gases a la atmósfera (no GEI) y de material particulado: objetivo de reducción del 15% para</w:t>
            </w:r>
            <w:r>
              <w:rPr>
                <w:spacing w:val="-1"/>
                <w:sz w:val="18"/>
              </w:rPr>
              <w:t> </w:t>
            </w:r>
            <w:r>
              <w:rPr>
                <w:sz w:val="18"/>
              </w:rPr>
              <w:t>2020</w:t>
            </w:r>
          </w:p>
        </w:tc>
        <w:tc>
          <w:tcPr>
            <w:tcW w:w="3024" w:type="dxa"/>
            <w:tcBorders>
              <w:top w:val="single" w:sz="8" w:space="0" w:color="007F00"/>
              <w:left w:val="single" w:sz="8" w:space="0" w:color="007F00"/>
              <w:bottom w:val="single" w:sz="8" w:space="0" w:color="007F00"/>
              <w:right w:val="single" w:sz="8" w:space="0" w:color="007F00"/>
            </w:tcBorders>
          </w:tcPr>
          <w:p>
            <w:pPr>
              <w:pStyle w:val="TableParagraph"/>
              <w:numPr>
                <w:ilvl w:val="0"/>
                <w:numId w:val="75"/>
              </w:numPr>
              <w:tabs>
                <w:tab w:pos="567" w:val="left" w:leader="none"/>
                <w:tab w:pos="568" w:val="left" w:leader="none"/>
              </w:tabs>
              <w:spacing w:line="237" w:lineRule="auto" w:before="0" w:after="0"/>
              <w:ind w:left="567" w:right="125" w:hanging="454"/>
              <w:jc w:val="left"/>
              <w:rPr>
                <w:sz w:val="18"/>
              </w:rPr>
            </w:pPr>
            <w:r>
              <w:rPr>
                <w:sz w:val="18"/>
              </w:rPr>
              <w:t>Emisiones de precursores</w:t>
            </w:r>
            <w:r>
              <w:rPr>
                <w:spacing w:val="-14"/>
                <w:sz w:val="18"/>
              </w:rPr>
              <w:t> </w:t>
            </w:r>
            <w:r>
              <w:rPr>
                <w:sz w:val="18"/>
              </w:rPr>
              <w:t>del ozono y de sustancias acidificantes</w:t>
            </w:r>
          </w:p>
          <w:p>
            <w:pPr>
              <w:pStyle w:val="TableParagraph"/>
              <w:numPr>
                <w:ilvl w:val="0"/>
                <w:numId w:val="75"/>
              </w:numPr>
              <w:tabs>
                <w:tab w:pos="567" w:val="left" w:leader="none"/>
                <w:tab w:pos="568" w:val="left" w:leader="none"/>
              </w:tabs>
              <w:spacing w:line="220" w:lineRule="exact" w:before="0" w:after="0"/>
              <w:ind w:left="568" w:right="0" w:hanging="454"/>
              <w:jc w:val="left"/>
              <w:rPr>
                <w:sz w:val="18"/>
              </w:rPr>
            </w:pPr>
            <w:r>
              <w:rPr>
                <w:sz w:val="18"/>
              </w:rPr>
              <w:t>Emisión de</w:t>
            </w:r>
            <w:r>
              <w:rPr>
                <w:spacing w:val="-3"/>
                <w:sz w:val="18"/>
              </w:rPr>
              <w:t> </w:t>
            </w:r>
            <w:r>
              <w:rPr>
                <w:sz w:val="18"/>
              </w:rPr>
              <w:t>partículas</w:t>
            </w:r>
          </w:p>
          <w:p>
            <w:pPr>
              <w:pStyle w:val="TableParagraph"/>
              <w:spacing w:line="216" w:lineRule="exact" w:before="4"/>
              <w:ind w:left="567" w:right="255"/>
              <w:rPr>
                <w:sz w:val="18"/>
              </w:rPr>
            </w:pPr>
            <w:r>
              <w:rPr>
                <w:sz w:val="18"/>
              </w:rPr>
              <w:t>relacionadas con la energía (SO</w:t>
            </w:r>
            <w:r>
              <w:rPr>
                <w:sz w:val="18"/>
                <w:vertAlign w:val="subscript"/>
              </w:rPr>
              <w:t>2</w:t>
            </w:r>
            <w:r>
              <w:rPr>
                <w:sz w:val="18"/>
                <w:vertAlign w:val="baseline"/>
              </w:rPr>
              <w:t>, NO</w:t>
            </w:r>
            <w:r>
              <w:rPr>
                <w:sz w:val="18"/>
                <w:vertAlign w:val="subscript"/>
              </w:rPr>
              <w:t>X</w:t>
            </w:r>
            <w:r>
              <w:rPr>
                <w:sz w:val="18"/>
                <w:vertAlign w:val="baseline"/>
              </w:rPr>
              <w:t> y PM)</w:t>
            </w:r>
          </w:p>
        </w:tc>
      </w:tr>
      <w:tr>
        <w:trPr>
          <w:trHeight w:val="2386" w:hRule="atLeast"/>
        </w:trPr>
        <w:tc>
          <w:tcPr>
            <w:tcW w:w="3020" w:type="dxa"/>
            <w:gridSpan w:val="5"/>
            <w:vMerge/>
            <w:tcBorders>
              <w:top w:val="nil"/>
              <w:left w:val="single" w:sz="8" w:space="0" w:color="007F00"/>
              <w:bottom w:val="single" w:sz="8" w:space="0" w:color="007F00"/>
              <w:right w:val="single" w:sz="8" w:space="0" w:color="007F00"/>
            </w:tcBorders>
          </w:tcPr>
          <w:p>
            <w:pPr>
              <w:rPr>
                <w:sz w:val="2"/>
                <w:szCs w:val="2"/>
              </w:rPr>
            </w:pPr>
          </w:p>
        </w:tc>
        <w:tc>
          <w:tcPr>
            <w:tcW w:w="3026" w:type="dxa"/>
            <w:tcBorders>
              <w:top w:val="single" w:sz="8" w:space="0" w:color="007F00"/>
              <w:left w:val="single" w:sz="8" w:space="0" w:color="007F00"/>
              <w:bottom w:val="single" w:sz="8" w:space="0" w:color="007F00"/>
              <w:right w:val="single" w:sz="8" w:space="0" w:color="007F00"/>
            </w:tcBorders>
          </w:tcPr>
          <w:p>
            <w:pPr>
              <w:pStyle w:val="TableParagraph"/>
              <w:numPr>
                <w:ilvl w:val="0"/>
                <w:numId w:val="76"/>
              </w:numPr>
              <w:tabs>
                <w:tab w:pos="473" w:val="left" w:leader="none"/>
                <w:tab w:pos="474" w:val="left" w:leader="none"/>
              </w:tabs>
              <w:spacing w:line="240" w:lineRule="auto" w:before="0" w:after="0"/>
              <w:ind w:left="473" w:right="925" w:hanging="360"/>
              <w:jc w:val="left"/>
              <w:rPr>
                <w:sz w:val="18"/>
              </w:rPr>
            </w:pPr>
            <w:r>
              <w:rPr>
                <w:sz w:val="18"/>
              </w:rPr>
              <w:t>Frenar la pérdida</w:t>
            </w:r>
            <w:r>
              <w:rPr>
                <w:spacing w:val="-9"/>
                <w:sz w:val="18"/>
              </w:rPr>
              <w:t> </w:t>
            </w:r>
            <w:r>
              <w:rPr>
                <w:sz w:val="18"/>
              </w:rPr>
              <w:t>de biodiversidad y la desertificación:</w:t>
            </w:r>
          </w:p>
          <w:p>
            <w:pPr>
              <w:pStyle w:val="TableParagraph"/>
              <w:numPr>
                <w:ilvl w:val="1"/>
                <w:numId w:val="76"/>
              </w:numPr>
              <w:tabs>
                <w:tab w:pos="1193" w:val="left" w:leader="none"/>
                <w:tab w:pos="1194" w:val="left" w:leader="none"/>
              </w:tabs>
              <w:spacing w:line="230" w:lineRule="auto" w:before="0" w:after="0"/>
              <w:ind w:left="1193" w:right="188" w:hanging="360"/>
              <w:jc w:val="left"/>
              <w:rPr>
                <w:sz w:val="18"/>
              </w:rPr>
            </w:pPr>
            <w:r>
              <w:rPr>
                <w:sz w:val="18"/>
              </w:rPr>
              <w:t>Minimización de la afección a espacios naturales</w:t>
            </w:r>
            <w:r>
              <w:rPr>
                <w:spacing w:val="-9"/>
                <w:sz w:val="18"/>
              </w:rPr>
              <w:t> </w:t>
            </w:r>
            <w:r>
              <w:rPr>
                <w:sz w:val="18"/>
              </w:rPr>
              <w:t>protegidos</w:t>
            </w:r>
          </w:p>
          <w:p>
            <w:pPr>
              <w:pStyle w:val="TableParagraph"/>
              <w:numPr>
                <w:ilvl w:val="1"/>
                <w:numId w:val="76"/>
              </w:numPr>
              <w:tabs>
                <w:tab w:pos="1193" w:val="left" w:leader="none"/>
                <w:tab w:pos="1194" w:val="left" w:leader="none"/>
              </w:tabs>
              <w:spacing w:line="232" w:lineRule="auto" w:before="8" w:after="0"/>
              <w:ind w:left="1193" w:right="83" w:hanging="360"/>
              <w:jc w:val="left"/>
              <w:rPr>
                <w:sz w:val="18"/>
              </w:rPr>
            </w:pPr>
            <w:r>
              <w:rPr>
                <w:sz w:val="18"/>
              </w:rPr>
              <w:t>Minimización de la desertificación causada por la explotación de la</w:t>
            </w:r>
            <w:r>
              <w:rPr>
                <w:spacing w:val="-13"/>
                <w:sz w:val="18"/>
              </w:rPr>
              <w:t> </w:t>
            </w:r>
            <w:r>
              <w:rPr>
                <w:sz w:val="18"/>
              </w:rPr>
              <w:t>leña</w:t>
            </w:r>
          </w:p>
          <w:p>
            <w:pPr>
              <w:pStyle w:val="TableParagraph"/>
              <w:spacing w:line="198" w:lineRule="exact" w:before="4"/>
              <w:ind w:left="1193"/>
              <w:rPr>
                <w:sz w:val="18"/>
              </w:rPr>
            </w:pPr>
            <w:r>
              <w:rPr>
                <w:sz w:val="18"/>
              </w:rPr>
              <w:t>para consumo</w:t>
            </w:r>
          </w:p>
        </w:tc>
        <w:tc>
          <w:tcPr>
            <w:tcW w:w="3024" w:type="dxa"/>
            <w:tcBorders>
              <w:top w:val="single" w:sz="8" w:space="0" w:color="007F00"/>
              <w:left w:val="single" w:sz="8" w:space="0" w:color="007F00"/>
              <w:bottom w:val="single" w:sz="8" w:space="0" w:color="007F00"/>
              <w:right w:val="single" w:sz="8" w:space="0" w:color="007F00"/>
            </w:tcBorders>
          </w:tcPr>
          <w:p>
            <w:pPr>
              <w:pStyle w:val="TableParagraph"/>
              <w:numPr>
                <w:ilvl w:val="0"/>
                <w:numId w:val="77"/>
              </w:numPr>
              <w:tabs>
                <w:tab w:pos="567" w:val="left" w:leader="none"/>
                <w:tab w:pos="568" w:val="left" w:leader="none"/>
              </w:tabs>
              <w:spacing w:line="240" w:lineRule="auto" w:before="0" w:after="0"/>
              <w:ind w:left="567" w:right="460" w:hanging="454"/>
              <w:jc w:val="left"/>
              <w:rPr>
                <w:sz w:val="18"/>
              </w:rPr>
            </w:pPr>
            <w:r>
              <w:rPr>
                <w:sz w:val="18"/>
              </w:rPr>
              <w:t>Nº de espacios naturales protegidos afectados por planes y proyectos energéticos</w:t>
            </w:r>
          </w:p>
          <w:p>
            <w:pPr>
              <w:pStyle w:val="TableParagraph"/>
              <w:numPr>
                <w:ilvl w:val="0"/>
                <w:numId w:val="77"/>
              </w:numPr>
              <w:tabs>
                <w:tab w:pos="567" w:val="left" w:leader="none"/>
                <w:tab w:pos="568" w:val="left" w:leader="none"/>
              </w:tabs>
              <w:spacing w:line="240" w:lineRule="auto" w:before="0" w:after="0"/>
              <w:ind w:left="567" w:right="497" w:hanging="454"/>
              <w:jc w:val="left"/>
              <w:rPr>
                <w:sz w:val="18"/>
              </w:rPr>
            </w:pPr>
            <w:r>
              <w:rPr>
                <w:sz w:val="18"/>
              </w:rPr>
              <w:t>Superficie de ocupación, incluyendo la banda de amortiguación, de los espacios protegidos por planes o proyectos energéticos</w:t>
            </w:r>
          </w:p>
          <w:p>
            <w:pPr>
              <w:pStyle w:val="TableParagraph"/>
              <w:numPr>
                <w:ilvl w:val="0"/>
                <w:numId w:val="77"/>
              </w:numPr>
              <w:tabs>
                <w:tab w:pos="567" w:val="left" w:leader="none"/>
                <w:tab w:pos="568" w:val="left" w:leader="none"/>
              </w:tabs>
              <w:spacing w:line="195" w:lineRule="exact" w:before="0" w:after="0"/>
              <w:ind w:left="568" w:right="0" w:hanging="454"/>
              <w:jc w:val="left"/>
              <w:rPr>
                <w:sz w:val="18"/>
              </w:rPr>
            </w:pPr>
            <w:r>
              <w:rPr>
                <w:sz w:val="18"/>
              </w:rPr>
              <w:t>Superficie de áreas</w:t>
            </w:r>
            <w:r>
              <w:rPr>
                <w:spacing w:val="-5"/>
                <w:sz w:val="18"/>
              </w:rPr>
              <w:t> </w:t>
            </w:r>
            <w:r>
              <w:rPr>
                <w:sz w:val="18"/>
              </w:rPr>
              <w:t>críticas</w:t>
            </w:r>
          </w:p>
        </w:tc>
      </w:tr>
    </w:tbl>
    <w:p>
      <w:pPr>
        <w:spacing w:after="0" w:line="195" w:lineRule="exact"/>
        <w:jc w:val="left"/>
        <w:rPr>
          <w:sz w:val="18"/>
        </w:rPr>
        <w:sectPr>
          <w:pgSz w:w="12240" w:h="15840"/>
          <w:pgMar w:header="718" w:footer="954" w:top="1360" w:bottom="1140" w:left="1200" w:right="380"/>
        </w:sectPr>
      </w:pPr>
    </w:p>
    <w:p>
      <w:pPr>
        <w:pStyle w:val="BodyText"/>
        <w:spacing w:before="9"/>
        <w:rPr>
          <w:rFonts w:ascii="Verdana"/>
          <w:b/>
          <w:sz w:val="19"/>
        </w:rPr>
      </w:pPr>
    </w:p>
    <w:tbl>
      <w:tblPr>
        <w:tblW w:w="0" w:type="auto"/>
        <w:jc w:val="left"/>
        <w:tblInd w:w="137" w:type="dxa"/>
        <w:tblBorders>
          <w:top w:val="single" w:sz="12" w:space="0" w:color="007F00"/>
          <w:left w:val="single" w:sz="12" w:space="0" w:color="007F00"/>
          <w:bottom w:val="single" w:sz="12" w:space="0" w:color="007F00"/>
          <w:right w:val="single" w:sz="12" w:space="0" w:color="007F00"/>
          <w:insideH w:val="single" w:sz="12" w:space="0" w:color="007F00"/>
          <w:insideV w:val="single" w:sz="12" w:space="0" w:color="007F00"/>
        </w:tblBorders>
        <w:tblLayout w:type="fixed"/>
        <w:tblCellMar>
          <w:top w:w="0" w:type="dxa"/>
          <w:left w:w="0" w:type="dxa"/>
          <w:bottom w:w="0" w:type="dxa"/>
          <w:right w:w="0" w:type="dxa"/>
        </w:tblCellMar>
        <w:tblLook w:val="01E0"/>
      </w:tblPr>
      <w:tblGrid>
        <w:gridCol w:w="3022"/>
        <w:gridCol w:w="3027"/>
        <w:gridCol w:w="3025"/>
      </w:tblGrid>
      <w:tr>
        <w:trPr>
          <w:trHeight w:val="217" w:hRule="atLeast"/>
        </w:trPr>
        <w:tc>
          <w:tcPr>
            <w:tcW w:w="3022" w:type="dxa"/>
            <w:tcBorders>
              <w:left w:val="nil"/>
              <w:bottom w:val="single" w:sz="8" w:space="0" w:color="007F00"/>
              <w:right w:val="single" w:sz="8" w:space="0" w:color="007F00"/>
            </w:tcBorders>
          </w:tcPr>
          <w:p>
            <w:pPr>
              <w:pStyle w:val="TableParagraph"/>
              <w:spacing w:line="196" w:lineRule="exact" w:before="1"/>
              <w:ind w:left="496"/>
              <w:rPr>
                <w:b/>
                <w:sz w:val="18"/>
              </w:rPr>
            </w:pPr>
            <w:r>
              <w:rPr>
                <w:b/>
                <w:sz w:val="18"/>
              </w:rPr>
              <w:t>OBJETIVO AMBIENTAL</w:t>
            </w:r>
          </w:p>
        </w:tc>
        <w:tc>
          <w:tcPr>
            <w:tcW w:w="3027" w:type="dxa"/>
            <w:tcBorders>
              <w:left w:val="single" w:sz="8" w:space="0" w:color="007F00"/>
              <w:bottom w:val="single" w:sz="8" w:space="0" w:color="007F00"/>
              <w:right w:val="single" w:sz="8" w:space="0" w:color="007F00"/>
            </w:tcBorders>
          </w:tcPr>
          <w:p>
            <w:pPr>
              <w:pStyle w:val="TableParagraph"/>
              <w:spacing w:line="196" w:lineRule="exact" w:before="1"/>
              <w:ind w:left="490"/>
              <w:rPr>
                <w:b/>
                <w:sz w:val="18"/>
              </w:rPr>
            </w:pPr>
            <w:r>
              <w:rPr>
                <w:b/>
                <w:sz w:val="18"/>
              </w:rPr>
              <w:t>OBJETIVO OPERATIVO</w:t>
            </w:r>
          </w:p>
        </w:tc>
        <w:tc>
          <w:tcPr>
            <w:tcW w:w="3025" w:type="dxa"/>
            <w:tcBorders>
              <w:left w:val="single" w:sz="8" w:space="0" w:color="007F00"/>
              <w:bottom w:val="single" w:sz="8" w:space="0" w:color="007F00"/>
              <w:right w:val="nil"/>
            </w:tcBorders>
          </w:tcPr>
          <w:p>
            <w:pPr>
              <w:pStyle w:val="TableParagraph"/>
              <w:spacing w:line="196" w:lineRule="exact" w:before="1"/>
              <w:ind w:left="964"/>
              <w:rPr>
                <w:b/>
                <w:sz w:val="18"/>
              </w:rPr>
            </w:pPr>
            <w:r>
              <w:rPr>
                <w:b/>
                <w:sz w:val="18"/>
              </w:rPr>
              <w:t>INDICADOR</w:t>
            </w:r>
          </w:p>
        </w:tc>
      </w:tr>
      <w:tr>
        <w:trPr>
          <w:trHeight w:val="1523" w:hRule="atLeast"/>
        </w:trPr>
        <w:tc>
          <w:tcPr>
            <w:tcW w:w="3022" w:type="dxa"/>
            <w:vMerge w:val="restart"/>
            <w:tcBorders>
              <w:top w:val="single" w:sz="8" w:space="0" w:color="007F00"/>
              <w:left w:val="single" w:sz="8" w:space="0" w:color="007F00"/>
              <w:bottom w:val="single" w:sz="8" w:space="0" w:color="007F00"/>
              <w:right w:val="single" w:sz="8" w:space="0" w:color="007F00"/>
            </w:tcBorders>
          </w:tcPr>
          <w:p>
            <w:pPr>
              <w:pStyle w:val="TableParagraph"/>
              <w:rPr>
                <w:rFonts w:ascii="Times New Roman"/>
                <w:sz w:val="20"/>
              </w:rPr>
            </w:pPr>
          </w:p>
        </w:tc>
        <w:tc>
          <w:tcPr>
            <w:tcW w:w="3027" w:type="dxa"/>
            <w:tcBorders>
              <w:top w:val="single" w:sz="8" w:space="0" w:color="007F00"/>
              <w:left w:val="single" w:sz="8" w:space="0" w:color="007F00"/>
              <w:bottom w:val="single" w:sz="8" w:space="0" w:color="007F00"/>
              <w:right w:val="single" w:sz="8" w:space="0" w:color="007F00"/>
            </w:tcBorders>
          </w:tcPr>
          <w:p>
            <w:pPr>
              <w:pStyle w:val="TableParagraph"/>
              <w:spacing w:before="2"/>
              <w:ind w:left="1191"/>
              <w:rPr>
                <w:sz w:val="18"/>
              </w:rPr>
            </w:pPr>
            <w:r>
              <w:rPr>
                <w:sz w:val="18"/>
              </w:rPr>
              <w:t>energético</w:t>
            </w:r>
          </w:p>
        </w:tc>
        <w:tc>
          <w:tcPr>
            <w:tcW w:w="3025" w:type="dxa"/>
            <w:tcBorders>
              <w:top w:val="single" w:sz="8" w:space="0" w:color="007F00"/>
              <w:left w:val="single" w:sz="8" w:space="0" w:color="007F00"/>
              <w:bottom w:val="single" w:sz="8" w:space="0" w:color="007F00"/>
              <w:right w:val="single" w:sz="8" w:space="0" w:color="007F00"/>
            </w:tcBorders>
          </w:tcPr>
          <w:p>
            <w:pPr>
              <w:pStyle w:val="TableParagraph"/>
              <w:spacing w:before="2"/>
              <w:ind w:left="564" w:right="140" w:hanging="1"/>
              <w:rPr>
                <w:sz w:val="18"/>
              </w:rPr>
            </w:pPr>
            <w:r>
              <w:rPr>
                <w:sz w:val="18"/>
              </w:rPr>
              <w:t>de especies vulnerables o en peligro de extinción afectadas por planes o proyectos energéticos</w:t>
            </w:r>
          </w:p>
          <w:p>
            <w:pPr>
              <w:pStyle w:val="TableParagraph"/>
              <w:numPr>
                <w:ilvl w:val="0"/>
                <w:numId w:val="78"/>
              </w:numPr>
              <w:tabs>
                <w:tab w:pos="564" w:val="left" w:leader="none"/>
                <w:tab w:pos="565" w:val="left" w:leader="none"/>
              </w:tabs>
              <w:spacing w:line="219" w:lineRule="exact" w:before="0" w:after="0"/>
              <w:ind w:left="564" w:right="0" w:hanging="454"/>
              <w:jc w:val="left"/>
              <w:rPr>
                <w:sz w:val="18"/>
              </w:rPr>
            </w:pPr>
            <w:r>
              <w:rPr>
                <w:sz w:val="18"/>
              </w:rPr>
              <w:t>Superficie forestal o</w:t>
            </w:r>
            <w:r>
              <w:rPr>
                <w:spacing w:val="-2"/>
                <w:sz w:val="18"/>
              </w:rPr>
              <w:t> </w:t>
            </w:r>
            <w:r>
              <w:rPr>
                <w:sz w:val="18"/>
              </w:rPr>
              <w:t>de</w:t>
            </w:r>
          </w:p>
          <w:p>
            <w:pPr>
              <w:pStyle w:val="TableParagraph"/>
              <w:spacing w:line="216" w:lineRule="exact" w:before="6"/>
              <w:ind w:left="564" w:right="77"/>
              <w:rPr>
                <w:sz w:val="18"/>
              </w:rPr>
            </w:pPr>
            <w:r>
              <w:rPr>
                <w:sz w:val="18"/>
              </w:rPr>
              <w:t>monte afectada por erosión o desertificación</w:t>
            </w:r>
          </w:p>
        </w:tc>
      </w:tr>
      <w:tr>
        <w:trPr>
          <w:trHeight w:val="4719" w:hRule="atLeast"/>
        </w:trPr>
        <w:tc>
          <w:tcPr>
            <w:tcW w:w="3022" w:type="dxa"/>
            <w:vMerge/>
            <w:tcBorders>
              <w:top w:val="nil"/>
              <w:left w:val="single" w:sz="8" w:space="0" w:color="007F00"/>
              <w:bottom w:val="single" w:sz="8" w:space="0" w:color="007F00"/>
              <w:right w:val="single" w:sz="8" w:space="0" w:color="007F00"/>
            </w:tcBorders>
          </w:tcPr>
          <w:p>
            <w:pPr>
              <w:rPr>
                <w:sz w:val="2"/>
                <w:szCs w:val="2"/>
              </w:rPr>
            </w:pPr>
          </w:p>
        </w:tc>
        <w:tc>
          <w:tcPr>
            <w:tcW w:w="3027" w:type="dxa"/>
            <w:tcBorders>
              <w:top w:val="single" w:sz="8" w:space="0" w:color="007F00"/>
              <w:left w:val="single" w:sz="8" w:space="0" w:color="007F00"/>
              <w:bottom w:val="single" w:sz="8" w:space="0" w:color="007F00"/>
              <w:right w:val="single" w:sz="8" w:space="0" w:color="007F00"/>
            </w:tcBorders>
          </w:tcPr>
          <w:p>
            <w:pPr>
              <w:pStyle w:val="TableParagraph"/>
              <w:numPr>
                <w:ilvl w:val="0"/>
                <w:numId w:val="79"/>
              </w:numPr>
              <w:tabs>
                <w:tab w:pos="471" w:val="left" w:leader="none"/>
                <w:tab w:pos="472" w:val="left" w:leader="none"/>
              </w:tabs>
              <w:spacing w:line="240" w:lineRule="auto" w:before="0" w:after="0"/>
              <w:ind w:left="471" w:right="224" w:hanging="360"/>
              <w:jc w:val="left"/>
              <w:rPr>
                <w:sz w:val="18"/>
              </w:rPr>
            </w:pPr>
            <w:r>
              <w:rPr>
                <w:sz w:val="18"/>
              </w:rPr>
              <w:t>Minimización de los riesgos para la salud de las personas y el medio</w:t>
            </w:r>
            <w:r>
              <w:rPr>
                <w:spacing w:val="-4"/>
                <w:sz w:val="18"/>
              </w:rPr>
              <w:t> </w:t>
            </w:r>
            <w:r>
              <w:rPr>
                <w:sz w:val="18"/>
              </w:rPr>
              <w:t>ambiente:</w:t>
            </w:r>
          </w:p>
          <w:p>
            <w:pPr>
              <w:pStyle w:val="TableParagraph"/>
              <w:numPr>
                <w:ilvl w:val="1"/>
                <w:numId w:val="79"/>
              </w:numPr>
              <w:tabs>
                <w:tab w:pos="1191" w:val="left" w:leader="none"/>
                <w:tab w:pos="1192" w:val="left" w:leader="none"/>
              </w:tabs>
              <w:spacing w:line="237" w:lineRule="auto" w:before="0" w:after="0"/>
              <w:ind w:left="1191" w:right="302" w:hanging="360"/>
              <w:jc w:val="left"/>
              <w:rPr>
                <w:sz w:val="18"/>
              </w:rPr>
            </w:pPr>
            <w:r>
              <w:rPr>
                <w:sz w:val="18"/>
              </w:rPr>
              <w:t>Minimización de la generación de residuos</w:t>
            </w:r>
            <w:r>
              <w:rPr>
                <w:spacing w:val="-9"/>
                <w:sz w:val="18"/>
              </w:rPr>
              <w:t> </w:t>
            </w:r>
            <w:r>
              <w:rPr>
                <w:sz w:val="18"/>
              </w:rPr>
              <w:t>peligrosos generados por el sector energético respecto de los niveles</w:t>
            </w:r>
            <w:r>
              <w:rPr>
                <w:spacing w:val="-2"/>
                <w:sz w:val="18"/>
              </w:rPr>
              <w:t> </w:t>
            </w:r>
            <w:r>
              <w:rPr>
                <w:sz w:val="18"/>
              </w:rPr>
              <w:t>actuales</w:t>
            </w:r>
          </w:p>
          <w:p>
            <w:pPr>
              <w:pStyle w:val="TableParagraph"/>
              <w:numPr>
                <w:ilvl w:val="1"/>
                <w:numId w:val="79"/>
              </w:numPr>
              <w:tabs>
                <w:tab w:pos="1191" w:val="left" w:leader="none"/>
                <w:tab w:pos="1192" w:val="left" w:leader="none"/>
              </w:tabs>
              <w:spacing w:line="237" w:lineRule="auto" w:before="0" w:after="0"/>
              <w:ind w:left="1191" w:right="109" w:hanging="360"/>
              <w:jc w:val="left"/>
              <w:rPr>
                <w:sz w:val="18"/>
              </w:rPr>
            </w:pPr>
            <w:r>
              <w:rPr>
                <w:sz w:val="18"/>
              </w:rPr>
              <w:t>Reducir hasta 0% la producción, exportación, importación y consumo de sustancias agotadoras del ozono (SAO) para</w:t>
            </w:r>
            <w:r>
              <w:rPr>
                <w:spacing w:val="-4"/>
                <w:sz w:val="18"/>
              </w:rPr>
              <w:t> </w:t>
            </w:r>
            <w:r>
              <w:rPr>
                <w:sz w:val="18"/>
              </w:rPr>
              <w:t>2010</w:t>
            </w:r>
          </w:p>
        </w:tc>
        <w:tc>
          <w:tcPr>
            <w:tcW w:w="3025" w:type="dxa"/>
            <w:tcBorders>
              <w:top w:val="single" w:sz="8" w:space="0" w:color="007F00"/>
              <w:left w:val="single" w:sz="8" w:space="0" w:color="007F00"/>
              <w:bottom w:val="single" w:sz="8" w:space="0" w:color="007F00"/>
              <w:right w:val="single" w:sz="8" w:space="0" w:color="007F00"/>
            </w:tcBorders>
          </w:tcPr>
          <w:p>
            <w:pPr>
              <w:pStyle w:val="TableParagraph"/>
              <w:numPr>
                <w:ilvl w:val="0"/>
                <w:numId w:val="80"/>
              </w:numPr>
              <w:tabs>
                <w:tab w:pos="564" w:val="left" w:leader="none"/>
                <w:tab w:pos="565" w:val="left" w:leader="none"/>
              </w:tabs>
              <w:spacing w:line="240" w:lineRule="auto" w:before="0" w:after="0"/>
              <w:ind w:left="564" w:right="292" w:hanging="454"/>
              <w:jc w:val="left"/>
              <w:rPr>
                <w:sz w:val="18"/>
              </w:rPr>
            </w:pPr>
            <w:r>
              <w:rPr>
                <w:sz w:val="18"/>
              </w:rPr>
              <w:t>Generación de residuos</w:t>
            </w:r>
            <w:r>
              <w:rPr>
                <w:spacing w:val="-14"/>
                <w:sz w:val="18"/>
              </w:rPr>
              <w:t> </w:t>
            </w:r>
            <w:r>
              <w:rPr>
                <w:sz w:val="18"/>
              </w:rPr>
              <w:t>del sector energético por tipología (peligrosos y no peligrosos) y sector (hidrocarburos, carbón, eléctrico,</w:t>
            </w:r>
            <w:r>
              <w:rPr>
                <w:spacing w:val="-2"/>
                <w:sz w:val="18"/>
              </w:rPr>
              <w:t> </w:t>
            </w:r>
            <w:r>
              <w:rPr>
                <w:sz w:val="18"/>
              </w:rPr>
              <w:t>FER)</w:t>
            </w:r>
          </w:p>
          <w:p>
            <w:pPr>
              <w:pStyle w:val="TableParagraph"/>
              <w:numPr>
                <w:ilvl w:val="0"/>
                <w:numId w:val="80"/>
              </w:numPr>
              <w:tabs>
                <w:tab w:pos="564" w:val="left" w:leader="none"/>
                <w:tab w:pos="565" w:val="left" w:leader="none"/>
              </w:tabs>
              <w:spacing w:line="240" w:lineRule="auto" w:before="0" w:after="0"/>
              <w:ind w:left="564" w:right="91" w:hanging="454"/>
              <w:jc w:val="left"/>
              <w:rPr>
                <w:sz w:val="18"/>
              </w:rPr>
            </w:pPr>
            <w:r>
              <w:rPr>
                <w:sz w:val="18"/>
              </w:rPr>
              <w:t>Cantidad total de hidrocarburos almacenados por localización geográfica en cercanías de poblaciones urbanas y/o espacios nacionales</w:t>
            </w:r>
            <w:r>
              <w:rPr>
                <w:spacing w:val="-1"/>
                <w:sz w:val="18"/>
              </w:rPr>
              <w:t> </w:t>
            </w:r>
            <w:r>
              <w:rPr>
                <w:sz w:val="18"/>
              </w:rPr>
              <w:t>protegidos</w:t>
            </w:r>
          </w:p>
        </w:tc>
      </w:tr>
    </w:tbl>
    <w:p>
      <w:pPr>
        <w:pStyle w:val="BodyText"/>
        <w:rPr>
          <w:rFonts w:ascii="Verdana"/>
          <w:b/>
          <w:sz w:val="20"/>
        </w:rPr>
      </w:pPr>
    </w:p>
    <w:p>
      <w:pPr>
        <w:pStyle w:val="BodyText"/>
        <w:spacing w:before="5"/>
        <w:rPr>
          <w:rFonts w:ascii="Verdana"/>
          <w:b/>
          <w:sz w:val="17"/>
        </w:rPr>
      </w:pPr>
    </w:p>
    <w:p>
      <w:pPr>
        <w:pStyle w:val="Heading2"/>
        <w:numPr>
          <w:ilvl w:val="1"/>
          <w:numId w:val="58"/>
        </w:numPr>
        <w:tabs>
          <w:tab w:pos="1519" w:val="left" w:leader="none"/>
          <w:tab w:pos="1520" w:val="left" w:leader="none"/>
          <w:tab w:pos="4776" w:val="left" w:leader="none"/>
          <w:tab w:pos="5846" w:val="left" w:leader="none"/>
          <w:tab w:pos="7459" w:val="left" w:leader="none"/>
          <w:tab w:pos="8301" w:val="left" w:leader="none"/>
        </w:tabs>
        <w:spacing w:line="240" w:lineRule="auto" w:before="100" w:after="0"/>
        <w:ind w:left="959" w:right="1061" w:hanging="720"/>
        <w:jc w:val="left"/>
      </w:pPr>
      <w:bookmarkStart w:name="_TOC_250009" w:id="90"/>
      <w:r>
        <w:rPr>
          <w:b w:val="0"/>
        </w:rPr>
        <w:tab/>
      </w:r>
      <w:r>
        <w:rPr/>
        <w:t>RECOMENDACIONES</w:t>
        <w:tab/>
        <w:t>PARA</w:t>
        <w:tab/>
        <w:t>REDUCIR</w:t>
        <w:tab/>
        <w:t>LOS</w:t>
        <w:tab/>
      </w:r>
      <w:r>
        <w:rPr>
          <w:w w:val="95"/>
        </w:rPr>
        <w:t>EFECTOS </w:t>
      </w:r>
      <w:r>
        <w:rPr/>
        <w:t>AMBIENTALES DEL</w:t>
      </w:r>
      <w:r>
        <w:rPr>
          <w:spacing w:val="-1"/>
        </w:rPr>
        <w:t> </w:t>
      </w:r>
      <w:bookmarkEnd w:id="90"/>
      <w:r>
        <w:rPr/>
        <w:t>PEN</w:t>
      </w:r>
    </w:p>
    <w:p>
      <w:pPr>
        <w:pStyle w:val="BodyText"/>
        <w:spacing w:before="10"/>
        <w:rPr>
          <w:rFonts w:ascii="Verdana"/>
          <w:b/>
        </w:rPr>
      </w:pPr>
    </w:p>
    <w:p>
      <w:pPr>
        <w:pStyle w:val="BodyText"/>
        <w:ind w:left="240" w:right="1054"/>
        <w:jc w:val="both"/>
      </w:pPr>
      <w:r>
        <w:rPr/>
        <w:t>Se ha de abordar la especificidad de las características ambientales de la República Dominicana como condicionante previo que articule la toma de decisiones sobre el PEN, y haciendo especial mención a las condiciones de insularidad, condicionantes geológicos y climáticos y vulnerabilidad del ecosistema.</w:t>
      </w:r>
    </w:p>
    <w:p>
      <w:pPr>
        <w:pStyle w:val="BodyText"/>
        <w:spacing w:before="11"/>
        <w:rPr>
          <w:sz w:val="22"/>
        </w:rPr>
      </w:pPr>
    </w:p>
    <w:p>
      <w:pPr>
        <w:pStyle w:val="BodyText"/>
        <w:ind w:left="240" w:right="1058"/>
        <w:jc w:val="both"/>
      </w:pPr>
      <w:r>
        <w:rPr/>
        <w:t>Para la correcta incorporación del componente ambiental en el proceso de planificación sectorial se han de tener en cuenta los siguientes aspectos y propuestas.</w:t>
      </w:r>
    </w:p>
    <w:p>
      <w:pPr>
        <w:pStyle w:val="BodyText"/>
        <w:rPr>
          <w:sz w:val="28"/>
        </w:rPr>
      </w:pPr>
    </w:p>
    <w:p>
      <w:pPr>
        <w:pStyle w:val="BodyText"/>
        <w:spacing w:before="8"/>
        <w:rPr>
          <w:sz w:val="24"/>
        </w:rPr>
      </w:pPr>
    </w:p>
    <w:p>
      <w:pPr>
        <w:pStyle w:val="ListParagraph"/>
        <w:numPr>
          <w:ilvl w:val="2"/>
          <w:numId w:val="81"/>
        </w:numPr>
        <w:tabs>
          <w:tab w:pos="1211" w:val="left" w:leader="none"/>
          <w:tab w:pos="1213" w:val="left" w:leader="none"/>
        </w:tabs>
        <w:spacing w:line="240" w:lineRule="auto" w:before="0" w:after="0"/>
        <w:ind w:left="1212" w:right="0" w:hanging="973"/>
        <w:jc w:val="left"/>
        <w:rPr>
          <w:rFonts w:ascii="Verdana"/>
          <w:b/>
          <w:sz w:val="25"/>
        </w:rPr>
      </w:pPr>
      <w:bookmarkStart w:name="_TOC_250008" w:id="91"/>
      <w:bookmarkEnd w:id="91"/>
      <w:r>
        <w:rPr>
          <w:rFonts w:ascii="Verdana"/>
          <w:b/>
          <w:sz w:val="25"/>
        </w:rPr>
        <w:t>Recomendaciones generales</w:t>
      </w:r>
    </w:p>
    <w:p>
      <w:pPr>
        <w:pStyle w:val="Heading9"/>
        <w:numPr>
          <w:ilvl w:val="0"/>
          <w:numId w:val="82"/>
        </w:numPr>
        <w:tabs>
          <w:tab w:pos="688" w:val="left" w:leader="none"/>
          <w:tab w:pos="690" w:val="left" w:leader="none"/>
          <w:tab w:pos="2038" w:val="left" w:leader="none"/>
          <w:tab w:pos="2592" w:val="left" w:leader="none"/>
          <w:tab w:pos="4138" w:val="left" w:leader="none"/>
          <w:tab w:pos="4652" w:val="left" w:leader="none"/>
          <w:tab w:pos="5089" w:val="left" w:leader="none"/>
          <w:tab w:pos="6035" w:val="left" w:leader="none"/>
          <w:tab w:pos="7490" w:val="left" w:leader="none"/>
          <w:tab w:pos="9268" w:val="left" w:leader="none"/>
        </w:tabs>
        <w:spacing w:line="240" w:lineRule="auto" w:before="209" w:after="0"/>
        <w:ind w:left="240" w:right="1059" w:firstLine="0"/>
        <w:jc w:val="left"/>
      </w:pPr>
      <w:r>
        <w:rPr/>
        <w:t>Proyectar</w:t>
        <w:tab/>
        <w:t>las</w:t>
        <w:tab/>
        <w:t>inversiones</w:t>
        <w:tab/>
        <w:t>en</w:t>
        <w:tab/>
        <w:t>el</w:t>
        <w:tab/>
        <w:t>sector</w:t>
        <w:tab/>
        <w:t>energético</w:t>
        <w:tab/>
        <w:t>considerando</w:t>
        <w:tab/>
      </w:r>
      <w:r>
        <w:rPr>
          <w:spacing w:val="-7"/>
        </w:rPr>
        <w:t>los </w:t>
      </w:r>
      <w:r>
        <w:rPr/>
        <w:t>condicionantes ambientales propios de la república</w:t>
      </w:r>
      <w:r>
        <w:rPr>
          <w:spacing w:val="-5"/>
        </w:rPr>
        <w:t> </w:t>
      </w:r>
      <w:r>
        <w:rPr/>
        <w:t>dominicana</w:t>
      </w:r>
    </w:p>
    <w:p>
      <w:pPr>
        <w:spacing w:after="0" w:line="240" w:lineRule="auto"/>
        <w:jc w:val="left"/>
        <w:sectPr>
          <w:pgSz w:w="12240" w:h="15840"/>
          <w:pgMar w:header="718" w:footer="954" w:top="1360" w:bottom="1140" w:left="1200" w:right="380"/>
        </w:sectPr>
      </w:pPr>
    </w:p>
    <w:p>
      <w:pPr>
        <w:pStyle w:val="BodyText"/>
        <w:spacing w:before="4"/>
        <w:rPr>
          <w:b/>
          <w:sz w:val="11"/>
        </w:rPr>
      </w:pPr>
    </w:p>
    <w:p>
      <w:pPr>
        <w:pStyle w:val="BodyText"/>
        <w:spacing w:before="101"/>
        <w:ind w:left="239" w:right="1055"/>
        <w:jc w:val="both"/>
      </w:pPr>
      <w:r>
        <w:rPr/>
        <w:t>Para el desarrollo y puesta en marcha de los instrumentos del PEN han de ser tenidas en cuenta las características propias del país, tanto por su condición de insularidad como por su encuadre climático regional y en especial atendiendo a los riesgos</w:t>
      </w:r>
      <w:r>
        <w:rPr>
          <w:spacing w:val="-15"/>
        </w:rPr>
        <w:t> </w:t>
      </w:r>
      <w:r>
        <w:rPr/>
        <w:t>naturales.</w:t>
      </w:r>
    </w:p>
    <w:p>
      <w:pPr>
        <w:pStyle w:val="BodyText"/>
        <w:spacing w:before="1"/>
        <w:rPr>
          <w:sz w:val="33"/>
        </w:rPr>
      </w:pPr>
    </w:p>
    <w:p>
      <w:pPr>
        <w:pStyle w:val="ListParagraph"/>
        <w:numPr>
          <w:ilvl w:val="1"/>
          <w:numId w:val="82"/>
        </w:numPr>
        <w:tabs>
          <w:tab w:pos="960" w:val="left" w:leader="none"/>
        </w:tabs>
        <w:spacing w:line="240" w:lineRule="auto" w:before="0" w:after="0"/>
        <w:ind w:left="959" w:right="1055" w:hanging="360"/>
        <w:jc w:val="both"/>
        <w:rPr>
          <w:sz w:val="23"/>
        </w:rPr>
      </w:pPr>
      <w:r>
        <w:rPr>
          <w:sz w:val="23"/>
        </w:rPr>
        <w:t>Realizar estudios encaminados a la elaboración de una cartografía de riesgos ambientales (geológicos, hidrológicos, áreas de exclusión eólica) de cara a minimizar los impactos ambientales negativos por mala ubicación de los proyectos de generación energética que amplíe y complemente la existente en la</w:t>
      </w:r>
      <w:r>
        <w:rPr>
          <w:spacing w:val="-17"/>
          <w:sz w:val="23"/>
        </w:rPr>
        <w:t> </w:t>
      </w:r>
      <w:r>
        <w:rPr>
          <w:sz w:val="23"/>
        </w:rPr>
        <w:t>SEMARENA.</w:t>
      </w:r>
    </w:p>
    <w:p>
      <w:pPr>
        <w:pStyle w:val="ListParagraph"/>
        <w:numPr>
          <w:ilvl w:val="1"/>
          <w:numId w:val="82"/>
        </w:numPr>
        <w:tabs>
          <w:tab w:pos="960" w:val="left" w:leader="none"/>
        </w:tabs>
        <w:spacing w:line="235" w:lineRule="auto" w:before="121" w:after="0"/>
        <w:ind w:left="959" w:right="1055" w:hanging="360"/>
        <w:jc w:val="both"/>
        <w:rPr>
          <w:sz w:val="23"/>
        </w:rPr>
      </w:pPr>
      <w:r>
        <w:rPr>
          <w:sz w:val="23"/>
        </w:rPr>
        <w:t>Ejecutar proyectos de aerogeneración a prueba de vientos huracanados con especial hincapié en las líneas de evacuación de la</w:t>
      </w:r>
      <w:r>
        <w:rPr>
          <w:spacing w:val="-3"/>
          <w:sz w:val="23"/>
        </w:rPr>
        <w:t> </w:t>
      </w:r>
      <w:r>
        <w:rPr>
          <w:sz w:val="23"/>
        </w:rPr>
        <w:t>energía.</w:t>
      </w:r>
    </w:p>
    <w:p>
      <w:pPr>
        <w:pStyle w:val="ListParagraph"/>
        <w:numPr>
          <w:ilvl w:val="1"/>
          <w:numId w:val="82"/>
        </w:numPr>
        <w:tabs>
          <w:tab w:pos="960" w:val="left" w:leader="none"/>
        </w:tabs>
        <w:spacing w:line="240" w:lineRule="auto" w:before="124" w:after="0"/>
        <w:ind w:left="959" w:right="0" w:hanging="361"/>
        <w:jc w:val="both"/>
        <w:rPr>
          <w:sz w:val="23"/>
        </w:rPr>
      </w:pPr>
      <w:r>
        <w:rPr>
          <w:sz w:val="23"/>
        </w:rPr>
        <w:t>Instalar tendidos de distribución de energía</w:t>
      </w:r>
      <w:r>
        <w:rPr>
          <w:spacing w:val="-2"/>
          <w:sz w:val="23"/>
        </w:rPr>
        <w:t> </w:t>
      </w:r>
      <w:r>
        <w:rPr>
          <w:sz w:val="23"/>
        </w:rPr>
        <w:t>anticiclónicos</w:t>
      </w:r>
    </w:p>
    <w:p>
      <w:pPr>
        <w:pStyle w:val="ListParagraph"/>
        <w:numPr>
          <w:ilvl w:val="1"/>
          <w:numId w:val="82"/>
        </w:numPr>
        <w:tabs>
          <w:tab w:pos="960" w:val="left" w:leader="none"/>
        </w:tabs>
        <w:spacing w:line="235" w:lineRule="auto" w:before="122" w:after="0"/>
        <w:ind w:left="959" w:right="1055" w:hanging="360"/>
        <w:jc w:val="both"/>
        <w:rPr>
          <w:sz w:val="23"/>
        </w:rPr>
      </w:pPr>
      <w:r>
        <w:rPr>
          <w:sz w:val="23"/>
        </w:rPr>
        <w:t>Apostar por el soterramiento de líneas de distribución eléctrica a su paso por las ciudades y núcleos</w:t>
      </w:r>
      <w:r>
        <w:rPr>
          <w:spacing w:val="-5"/>
          <w:sz w:val="23"/>
        </w:rPr>
        <w:t> </w:t>
      </w:r>
      <w:r>
        <w:rPr>
          <w:sz w:val="23"/>
        </w:rPr>
        <w:t>urbanos.</w:t>
      </w:r>
    </w:p>
    <w:p>
      <w:pPr>
        <w:pStyle w:val="ListParagraph"/>
        <w:numPr>
          <w:ilvl w:val="1"/>
          <w:numId w:val="82"/>
        </w:numPr>
        <w:tabs>
          <w:tab w:pos="960" w:val="left" w:leader="none"/>
        </w:tabs>
        <w:spacing w:line="235" w:lineRule="auto" w:before="128" w:after="0"/>
        <w:ind w:left="959" w:right="1054" w:hanging="360"/>
        <w:jc w:val="both"/>
        <w:rPr>
          <w:sz w:val="23"/>
        </w:rPr>
      </w:pPr>
      <w:r>
        <w:rPr>
          <w:sz w:val="23"/>
        </w:rPr>
        <w:t>Establecimiento de planes de emergencia para las presas para la temporada ciclónica y revisión periódica de los ya</w:t>
      </w:r>
      <w:r>
        <w:rPr>
          <w:spacing w:val="-4"/>
          <w:sz w:val="23"/>
        </w:rPr>
        <w:t> </w:t>
      </w:r>
      <w:r>
        <w:rPr>
          <w:sz w:val="23"/>
        </w:rPr>
        <w:t>existentes.</w:t>
      </w:r>
    </w:p>
    <w:p>
      <w:pPr>
        <w:pStyle w:val="ListParagraph"/>
        <w:numPr>
          <w:ilvl w:val="1"/>
          <w:numId w:val="82"/>
        </w:numPr>
        <w:tabs>
          <w:tab w:pos="960" w:val="left" w:leader="none"/>
        </w:tabs>
        <w:spacing w:line="237" w:lineRule="auto" w:before="126" w:after="0"/>
        <w:ind w:left="959" w:right="1056" w:hanging="360"/>
        <w:jc w:val="both"/>
        <w:rPr>
          <w:sz w:val="23"/>
        </w:rPr>
      </w:pPr>
      <w:r>
        <w:rPr>
          <w:sz w:val="23"/>
        </w:rPr>
        <w:t>Considerar en el diseño de proyectos energéticos próximos a la costa, en especial en los proyectos de depósitos de combustible y residuos, la posible afección de intrusiones marinas en la costa debido a un</w:t>
      </w:r>
      <w:r>
        <w:rPr>
          <w:spacing w:val="-8"/>
          <w:sz w:val="23"/>
        </w:rPr>
        <w:t> </w:t>
      </w:r>
      <w:r>
        <w:rPr>
          <w:sz w:val="23"/>
        </w:rPr>
        <w:t>maremoto.</w:t>
      </w:r>
    </w:p>
    <w:p>
      <w:pPr>
        <w:pStyle w:val="ListParagraph"/>
        <w:numPr>
          <w:ilvl w:val="1"/>
          <w:numId w:val="82"/>
        </w:numPr>
        <w:tabs>
          <w:tab w:pos="960" w:val="left" w:leader="none"/>
        </w:tabs>
        <w:spacing w:line="240" w:lineRule="auto" w:before="122" w:after="0"/>
        <w:ind w:left="959" w:right="1053" w:hanging="360"/>
        <w:jc w:val="both"/>
        <w:rPr>
          <w:sz w:val="23"/>
        </w:rPr>
      </w:pPr>
      <w:r>
        <w:rPr>
          <w:sz w:val="23"/>
        </w:rPr>
        <w:t>El riesgo sísmico ha de ser considerado como un condicionante de partida por sus incuestionables consecuencias ambientales; siendo necesario que los proyectos de generación y distribución de la energía presten atención a la vulnerabilidad sísmica del entorno. De ahí que sea primordial el realizar estudios geotécnicos previos a las instalación de cualquier edificio, generador o torre de transporte de energía de cara a minimizar los impactos sísmicos sobre el sector energético y consecuentemente sobre el ambiente (riesgo de incendios, riesgos para la salud y las personas, contaminación por pérdidas o vertidos de combustibles y/o PCBs,</w:t>
      </w:r>
      <w:r>
        <w:rPr>
          <w:spacing w:val="-8"/>
          <w:sz w:val="23"/>
        </w:rPr>
        <w:t> </w:t>
      </w:r>
      <w:r>
        <w:rPr>
          <w:sz w:val="23"/>
        </w:rPr>
        <w:t>etc.)</w:t>
      </w:r>
    </w:p>
    <w:p>
      <w:pPr>
        <w:pStyle w:val="ListParagraph"/>
        <w:numPr>
          <w:ilvl w:val="1"/>
          <w:numId w:val="82"/>
        </w:numPr>
        <w:tabs>
          <w:tab w:pos="959" w:val="left" w:leader="none"/>
          <w:tab w:pos="960" w:val="left" w:leader="none"/>
        </w:tabs>
        <w:spacing w:line="240" w:lineRule="auto" w:before="118" w:after="0"/>
        <w:ind w:left="959" w:right="985" w:hanging="360"/>
        <w:jc w:val="left"/>
        <w:rPr>
          <w:sz w:val="23"/>
        </w:rPr>
      </w:pPr>
      <w:r>
        <w:rPr>
          <w:sz w:val="23"/>
        </w:rPr>
        <w:t>Se ha de prestar especial atención a la ubicación de proyectos de generación energética en terrenos ubicados próximos a ríos, arroyos, lagos, lagunas, humedales, pantanos y zonas costeras, así como aquellas ubicadas en zonas bajas susceptibles a las inundaciones y de fenómenos de degradación hidrogeológica, de inestabilidad geológica y de peligrosidad hidráulica o de deslizamientos. Y especialmente si se trata de obras de ingeniería como presas, puentes, carreteras, canales de riego, terraplenes, taludes, edificaciones,</w:t>
      </w:r>
      <w:r>
        <w:rPr>
          <w:spacing w:val="-5"/>
          <w:sz w:val="23"/>
        </w:rPr>
        <w:t> </w:t>
      </w:r>
      <w:r>
        <w:rPr>
          <w:sz w:val="23"/>
        </w:rPr>
        <w:t>etc.</w:t>
      </w:r>
    </w:p>
    <w:p>
      <w:pPr>
        <w:pStyle w:val="Heading9"/>
        <w:numPr>
          <w:ilvl w:val="0"/>
          <w:numId w:val="82"/>
        </w:numPr>
        <w:tabs>
          <w:tab w:pos="637" w:val="left" w:leader="none"/>
        </w:tabs>
        <w:spacing w:line="240" w:lineRule="auto" w:before="115" w:after="0"/>
        <w:ind w:left="239" w:right="1059" w:firstLine="0"/>
        <w:jc w:val="left"/>
      </w:pPr>
      <w:r>
        <w:rPr/>
        <w:t>Analizar los factores ambientales que pueden verse afectados por los proyectos de producción</w:t>
      </w:r>
      <w:r>
        <w:rPr>
          <w:spacing w:val="-4"/>
        </w:rPr>
        <w:t> </w:t>
      </w:r>
      <w:r>
        <w:rPr/>
        <w:t>energética</w:t>
      </w:r>
    </w:p>
    <w:p>
      <w:pPr>
        <w:pStyle w:val="BodyText"/>
        <w:rPr>
          <w:b/>
        </w:rPr>
      </w:pPr>
    </w:p>
    <w:p>
      <w:pPr>
        <w:pStyle w:val="BodyText"/>
        <w:ind w:left="239" w:right="1060"/>
      </w:pPr>
      <w:r>
        <w:rPr/>
        <w:t>Se deberá prestar una especial atención a los siguientes factores del medio del sistema natural y ambiental a una escala de trabajo adecuada para los proyectos:</w:t>
      </w:r>
    </w:p>
    <w:p>
      <w:pPr>
        <w:pStyle w:val="ListParagraph"/>
        <w:numPr>
          <w:ilvl w:val="1"/>
          <w:numId w:val="82"/>
        </w:numPr>
        <w:tabs>
          <w:tab w:pos="959" w:val="left" w:leader="none"/>
          <w:tab w:pos="960" w:val="left" w:leader="none"/>
        </w:tabs>
        <w:spacing w:line="240" w:lineRule="auto" w:before="123" w:after="0"/>
        <w:ind w:left="959" w:right="0" w:hanging="361"/>
        <w:jc w:val="left"/>
        <w:rPr>
          <w:sz w:val="23"/>
        </w:rPr>
      </w:pPr>
      <w:r>
        <w:rPr>
          <w:sz w:val="23"/>
        </w:rPr>
        <w:t>La disponibilidad y la calidad del agua subterránea y</w:t>
      </w:r>
      <w:r>
        <w:rPr>
          <w:spacing w:val="-10"/>
          <w:sz w:val="23"/>
        </w:rPr>
        <w:t> </w:t>
      </w:r>
      <w:r>
        <w:rPr>
          <w:sz w:val="23"/>
        </w:rPr>
        <w:t>superficial;</w:t>
      </w:r>
    </w:p>
    <w:p>
      <w:pPr>
        <w:pStyle w:val="ListParagraph"/>
        <w:numPr>
          <w:ilvl w:val="1"/>
          <w:numId w:val="82"/>
        </w:numPr>
        <w:tabs>
          <w:tab w:pos="959" w:val="left" w:leader="none"/>
          <w:tab w:pos="960" w:val="left" w:leader="none"/>
        </w:tabs>
        <w:spacing w:line="235" w:lineRule="auto" w:before="121" w:after="0"/>
        <w:ind w:left="959" w:right="1055" w:hanging="360"/>
        <w:jc w:val="left"/>
        <w:rPr>
          <w:sz w:val="23"/>
        </w:rPr>
      </w:pPr>
      <w:r>
        <w:rPr>
          <w:sz w:val="23"/>
        </w:rPr>
        <w:t>La gestión integrada del ciclo del agua. Se ha de acometer un manejo integral del recurso hídrico en sus áreas de influencia que permita el aprovechamiento</w:t>
      </w:r>
      <w:r>
        <w:rPr>
          <w:spacing w:val="27"/>
          <w:sz w:val="23"/>
        </w:rPr>
        <w:t> </w:t>
      </w:r>
      <w:r>
        <w:rPr>
          <w:sz w:val="23"/>
        </w:rPr>
        <w:t>de</w:t>
      </w:r>
    </w:p>
    <w:p>
      <w:pPr>
        <w:spacing w:after="0" w:line="235" w:lineRule="auto"/>
        <w:jc w:val="left"/>
        <w:rPr>
          <w:sz w:val="23"/>
        </w:rPr>
        <w:sectPr>
          <w:pgSz w:w="12240" w:h="15840"/>
          <w:pgMar w:header="718" w:footer="954" w:top="1360" w:bottom="1140" w:left="1200" w:right="380"/>
        </w:sectPr>
      </w:pPr>
    </w:p>
    <w:p>
      <w:pPr>
        <w:pStyle w:val="BodyText"/>
        <w:spacing w:before="4"/>
        <w:rPr>
          <w:sz w:val="11"/>
        </w:rPr>
      </w:pPr>
    </w:p>
    <w:p>
      <w:pPr>
        <w:pStyle w:val="BodyText"/>
        <w:spacing w:before="101"/>
        <w:ind w:left="959" w:right="1057"/>
        <w:jc w:val="both"/>
      </w:pPr>
      <w:r>
        <w:rPr/>
        <w:t>generación de energía hidráulica sin comprometer los otros usos, como el riego, abastecimiento y de forma muy especial la regulación de las inundaciones.</w:t>
      </w:r>
    </w:p>
    <w:p>
      <w:pPr>
        <w:pStyle w:val="ListParagraph"/>
        <w:numPr>
          <w:ilvl w:val="1"/>
          <w:numId w:val="82"/>
        </w:numPr>
        <w:tabs>
          <w:tab w:pos="960" w:val="left" w:leader="none"/>
        </w:tabs>
        <w:spacing w:line="235" w:lineRule="auto" w:before="127" w:after="0"/>
        <w:ind w:left="959" w:right="1056" w:hanging="360"/>
        <w:jc w:val="both"/>
        <w:rPr>
          <w:sz w:val="23"/>
        </w:rPr>
      </w:pPr>
      <w:r>
        <w:rPr>
          <w:sz w:val="23"/>
        </w:rPr>
        <w:t>Las características del suelo, en relación a su permeabilidad, al fenómeno de la subsidencia y a la degradación por erosión y</w:t>
      </w:r>
      <w:r>
        <w:rPr>
          <w:spacing w:val="-4"/>
          <w:sz w:val="23"/>
        </w:rPr>
        <w:t> </w:t>
      </w:r>
      <w:r>
        <w:rPr>
          <w:sz w:val="23"/>
        </w:rPr>
        <w:t>degradación;</w:t>
      </w:r>
    </w:p>
    <w:p>
      <w:pPr>
        <w:pStyle w:val="ListParagraph"/>
        <w:numPr>
          <w:ilvl w:val="1"/>
          <w:numId w:val="82"/>
        </w:numPr>
        <w:tabs>
          <w:tab w:pos="960" w:val="left" w:leader="none"/>
        </w:tabs>
        <w:spacing w:line="240" w:lineRule="auto" w:before="124" w:after="0"/>
        <w:ind w:left="959" w:right="0" w:hanging="361"/>
        <w:jc w:val="both"/>
        <w:rPr>
          <w:sz w:val="23"/>
        </w:rPr>
      </w:pPr>
      <w:r>
        <w:rPr>
          <w:sz w:val="23"/>
        </w:rPr>
        <w:t>Los ámbitos de vegetación, forestales y</w:t>
      </w:r>
      <w:r>
        <w:rPr>
          <w:spacing w:val="-4"/>
          <w:sz w:val="23"/>
        </w:rPr>
        <w:t> </w:t>
      </w:r>
      <w:r>
        <w:rPr>
          <w:sz w:val="23"/>
        </w:rPr>
        <w:t>faunísticos;</w:t>
      </w:r>
    </w:p>
    <w:p>
      <w:pPr>
        <w:pStyle w:val="ListParagraph"/>
        <w:numPr>
          <w:ilvl w:val="1"/>
          <w:numId w:val="82"/>
        </w:numPr>
        <w:tabs>
          <w:tab w:pos="960" w:val="left" w:leader="none"/>
        </w:tabs>
        <w:spacing w:line="235" w:lineRule="auto" w:before="122" w:after="0"/>
        <w:ind w:left="959" w:right="1056" w:hanging="360"/>
        <w:jc w:val="both"/>
        <w:rPr>
          <w:sz w:val="23"/>
        </w:rPr>
      </w:pPr>
      <w:r>
        <w:rPr>
          <w:sz w:val="23"/>
        </w:rPr>
        <w:t>Las áreas y elementos de valor natural que constituyen el sistema de espacios naturales</w:t>
      </w:r>
      <w:r>
        <w:rPr>
          <w:spacing w:val="-1"/>
          <w:sz w:val="23"/>
        </w:rPr>
        <w:t> </w:t>
      </w:r>
      <w:r>
        <w:rPr>
          <w:sz w:val="23"/>
        </w:rPr>
        <w:t>protegidos;</w:t>
      </w:r>
    </w:p>
    <w:p>
      <w:pPr>
        <w:pStyle w:val="ListParagraph"/>
        <w:numPr>
          <w:ilvl w:val="1"/>
          <w:numId w:val="82"/>
        </w:numPr>
        <w:tabs>
          <w:tab w:pos="960" w:val="left" w:leader="none"/>
        </w:tabs>
        <w:spacing w:line="237" w:lineRule="auto" w:before="126" w:after="0"/>
        <w:ind w:left="959" w:right="1055" w:hanging="360"/>
        <w:jc w:val="both"/>
        <w:rPr>
          <w:sz w:val="23"/>
        </w:rPr>
      </w:pPr>
      <w:r>
        <w:rPr>
          <w:sz w:val="23"/>
        </w:rPr>
        <w:t>El consumo y uso de recursos (materiales y energía) por parte del sector energético y su contribución al impacto en el ecosistema global (dependencia energética, producción de deshechos,</w:t>
      </w:r>
      <w:r>
        <w:rPr>
          <w:spacing w:val="1"/>
          <w:sz w:val="23"/>
        </w:rPr>
        <w:t> </w:t>
      </w:r>
      <w:r>
        <w:rPr>
          <w:sz w:val="23"/>
        </w:rPr>
        <w:t>etc.…)</w:t>
      </w:r>
    </w:p>
    <w:p>
      <w:pPr>
        <w:pStyle w:val="Heading9"/>
        <w:numPr>
          <w:ilvl w:val="0"/>
          <w:numId w:val="82"/>
        </w:numPr>
        <w:tabs>
          <w:tab w:pos="526" w:val="left" w:leader="none"/>
        </w:tabs>
        <w:spacing w:line="240" w:lineRule="auto" w:before="120" w:after="0"/>
        <w:ind w:left="525" w:right="0" w:hanging="287"/>
        <w:jc w:val="both"/>
      </w:pPr>
      <w:r>
        <w:rPr/>
        <w:t>Valorar y considerar el alto valor ecológico de la República</w:t>
      </w:r>
      <w:r>
        <w:rPr>
          <w:spacing w:val="-9"/>
        </w:rPr>
        <w:t> </w:t>
      </w:r>
      <w:r>
        <w:rPr/>
        <w:t>Dominicana</w:t>
      </w:r>
    </w:p>
    <w:p>
      <w:pPr>
        <w:pStyle w:val="BodyText"/>
        <w:spacing w:before="11"/>
        <w:rPr>
          <w:b/>
          <w:sz w:val="22"/>
        </w:rPr>
      </w:pPr>
    </w:p>
    <w:p>
      <w:pPr>
        <w:pStyle w:val="BodyText"/>
        <w:tabs>
          <w:tab w:pos="4336" w:val="left" w:leader="none"/>
        </w:tabs>
        <w:spacing w:before="1"/>
        <w:ind w:left="239" w:right="986"/>
      </w:pPr>
      <w:r>
        <w:rPr/>
        <w:t>Para poder valorar la incidencia de la política y proyectos energéticos sobre la biodiversidad, es primordial conocer su situación actual, constatándose a día de hoy una carencia en cuanto  a  estudios</w:t>
      </w:r>
      <w:r>
        <w:rPr>
          <w:spacing w:val="-33"/>
        </w:rPr>
        <w:t> </w:t>
      </w:r>
      <w:r>
        <w:rPr/>
        <w:t>sobre</w:t>
      </w:r>
      <w:r>
        <w:rPr>
          <w:spacing w:val="38"/>
        </w:rPr>
        <w:t> </w:t>
      </w:r>
      <w:r>
        <w:rPr/>
        <w:t>ecosistemas</w:t>
        <w:tab/>
        <w:t>y especies así como de los procesos ecológicos y evolutivos que nos permitan conocer en profundidad la biodiversidad de la</w:t>
      </w:r>
      <w:r>
        <w:rPr>
          <w:spacing w:val="-14"/>
        </w:rPr>
        <w:t> </w:t>
      </w:r>
      <w:r>
        <w:rPr/>
        <w:t>isla.</w:t>
      </w:r>
    </w:p>
    <w:p>
      <w:pPr>
        <w:pStyle w:val="BodyText"/>
        <w:spacing w:before="1"/>
      </w:pPr>
    </w:p>
    <w:p>
      <w:pPr>
        <w:pStyle w:val="BodyText"/>
        <w:ind w:left="239"/>
        <w:jc w:val="both"/>
      </w:pPr>
      <w:r>
        <w:rPr/>
        <w:t>Paralelamente, se ha de prestar atención a los siguientes aspectos:</w:t>
      </w:r>
    </w:p>
    <w:p>
      <w:pPr>
        <w:pStyle w:val="ListParagraph"/>
        <w:numPr>
          <w:ilvl w:val="1"/>
          <w:numId w:val="82"/>
        </w:numPr>
        <w:tabs>
          <w:tab w:pos="960" w:val="left" w:leader="none"/>
        </w:tabs>
        <w:spacing w:line="240" w:lineRule="auto" w:before="120" w:after="0"/>
        <w:ind w:left="959" w:right="1055" w:hanging="360"/>
        <w:jc w:val="both"/>
        <w:rPr>
          <w:sz w:val="23"/>
        </w:rPr>
      </w:pPr>
      <w:r>
        <w:rPr>
          <w:sz w:val="23"/>
        </w:rPr>
        <w:t>Espacios Naturales Protegidos: Los proyectos de generación y transporte de energía deberían quedar al margen del sistema nacional de áreas protegidas, incluso aún tratándose de generación de energía renovable como medida de cautela ante las posibles incidencias ambientales sobre los ecosistemas que albergan estos espacios (sin menoscabo de lo establecido desde la legislación sectorial en cuanto a espacios protegidos y evaluación de impacto</w:t>
      </w:r>
      <w:r>
        <w:rPr>
          <w:spacing w:val="-3"/>
          <w:sz w:val="23"/>
        </w:rPr>
        <w:t> </w:t>
      </w:r>
      <w:r>
        <w:rPr>
          <w:sz w:val="23"/>
        </w:rPr>
        <w:t>ambiental).</w:t>
      </w:r>
    </w:p>
    <w:p>
      <w:pPr>
        <w:pStyle w:val="ListParagraph"/>
        <w:numPr>
          <w:ilvl w:val="1"/>
          <w:numId w:val="82"/>
        </w:numPr>
        <w:tabs>
          <w:tab w:pos="960" w:val="left" w:leader="none"/>
        </w:tabs>
        <w:spacing w:line="237" w:lineRule="auto" w:before="120" w:after="0"/>
        <w:ind w:left="959" w:right="1056" w:hanging="360"/>
        <w:jc w:val="both"/>
        <w:rPr>
          <w:sz w:val="23"/>
        </w:rPr>
      </w:pPr>
      <w:r>
        <w:rPr>
          <w:sz w:val="23"/>
        </w:rPr>
        <w:t>Conservación de los ecosistemas marino-costeros: La conservación de estos ecosistemas pasa necesariamente por el estudio de las interacciones ecológicas y la alta conectividad que existe entre ellos, ya que esta condición es vital para lograr la conservación de la biodiversidad</w:t>
      </w:r>
      <w:r>
        <w:rPr>
          <w:spacing w:val="-1"/>
          <w:sz w:val="23"/>
        </w:rPr>
        <w:t> </w:t>
      </w:r>
      <w:r>
        <w:rPr>
          <w:sz w:val="23"/>
        </w:rPr>
        <w:t>marina.</w:t>
      </w:r>
    </w:p>
    <w:p>
      <w:pPr>
        <w:pStyle w:val="ListParagraph"/>
        <w:numPr>
          <w:ilvl w:val="1"/>
          <w:numId w:val="82"/>
        </w:numPr>
        <w:tabs>
          <w:tab w:pos="960" w:val="left" w:leader="none"/>
        </w:tabs>
        <w:spacing w:line="240" w:lineRule="auto" w:before="126" w:after="0"/>
        <w:ind w:left="959" w:right="1055" w:hanging="360"/>
        <w:jc w:val="both"/>
        <w:rPr>
          <w:sz w:val="23"/>
        </w:rPr>
      </w:pPr>
      <w:r>
        <w:rPr>
          <w:sz w:val="23"/>
        </w:rPr>
        <w:t>Ordenamiento territorial: Es necesario impulsar y desarrollar un ordenamiento territorial a escala nacional en el que se establezcan las zonas excluidas para la generación y transporte de la energía. (En la actualidad existe un compromiso por parte del gobierno de avanzar en el establecimiento de un ordenamiento territorial nacional, como seguimiento a las recomendaciones de la mesa de trabajo Desarrollo Territorial, Gestión Municipal y Medio Ambiente celebrada en febrero de</w:t>
      </w:r>
      <w:r>
        <w:rPr>
          <w:spacing w:val="-15"/>
          <w:sz w:val="23"/>
        </w:rPr>
        <w:t> </w:t>
      </w:r>
      <w:r>
        <w:rPr>
          <w:sz w:val="23"/>
        </w:rPr>
        <w:t>2009).</w:t>
      </w:r>
    </w:p>
    <w:p>
      <w:pPr>
        <w:pStyle w:val="ListParagraph"/>
        <w:numPr>
          <w:ilvl w:val="1"/>
          <w:numId w:val="82"/>
        </w:numPr>
        <w:tabs>
          <w:tab w:pos="960" w:val="left" w:leader="none"/>
        </w:tabs>
        <w:spacing w:line="237" w:lineRule="auto" w:before="120" w:after="0"/>
        <w:ind w:left="959" w:right="1057" w:hanging="360"/>
        <w:jc w:val="both"/>
        <w:rPr>
          <w:sz w:val="23"/>
        </w:rPr>
      </w:pPr>
      <w:r>
        <w:rPr>
          <w:sz w:val="23"/>
        </w:rPr>
        <w:t>Política forestal encaminada a la conservación de suelos de montaña y disminución de la sedimentación en los embalses (bosques protectores del recurso hídrico). Es necesario revisar el manejo integral de las presas incorporando en él la política forestal y de conservación de bosques en su</w:t>
      </w:r>
      <w:r>
        <w:rPr>
          <w:spacing w:val="2"/>
          <w:sz w:val="23"/>
        </w:rPr>
        <w:t> </w:t>
      </w:r>
      <w:r>
        <w:rPr>
          <w:sz w:val="23"/>
        </w:rPr>
        <w:t>entorno.</w:t>
      </w:r>
    </w:p>
    <w:p>
      <w:pPr>
        <w:spacing w:after="0" w:line="237" w:lineRule="auto"/>
        <w:jc w:val="both"/>
        <w:rPr>
          <w:sz w:val="23"/>
        </w:rPr>
        <w:sectPr>
          <w:pgSz w:w="12240" w:h="15840"/>
          <w:pgMar w:header="718" w:footer="954" w:top="1360" w:bottom="1140" w:left="1200" w:right="380"/>
        </w:sectPr>
      </w:pPr>
    </w:p>
    <w:p>
      <w:pPr>
        <w:pStyle w:val="BodyText"/>
        <w:spacing w:before="5"/>
        <w:rPr>
          <w:sz w:val="11"/>
        </w:rPr>
      </w:pPr>
    </w:p>
    <w:p>
      <w:pPr>
        <w:pStyle w:val="ListParagraph"/>
        <w:numPr>
          <w:ilvl w:val="2"/>
          <w:numId w:val="81"/>
        </w:numPr>
        <w:tabs>
          <w:tab w:pos="1121" w:val="left" w:leader="none"/>
        </w:tabs>
        <w:spacing w:line="312" w:lineRule="auto" w:before="101" w:after="0"/>
        <w:ind w:left="1372" w:right="1059" w:hanging="1133"/>
        <w:jc w:val="left"/>
        <w:rPr>
          <w:rFonts w:ascii="Verdana" w:hAnsi="Verdana"/>
          <w:b/>
          <w:sz w:val="24"/>
        </w:rPr>
      </w:pPr>
      <w:r>
        <w:rPr>
          <w:rFonts w:ascii="Verdana" w:hAnsi="Verdana"/>
          <w:b/>
          <w:sz w:val="24"/>
        </w:rPr>
        <w:t>Recomendaciones ambientales sobre los sectores de consumo energético</w:t>
      </w:r>
    </w:p>
    <w:p>
      <w:pPr>
        <w:spacing w:before="125"/>
        <w:ind w:left="947" w:right="0" w:firstLine="0"/>
        <w:jc w:val="left"/>
        <w:rPr>
          <w:rFonts w:ascii="Times New Roman"/>
          <w:b/>
          <w:i/>
          <w:sz w:val="26"/>
        </w:rPr>
      </w:pPr>
      <w:r>
        <w:rPr>
          <w:rFonts w:ascii="Times New Roman"/>
          <w:b/>
          <w:i/>
          <w:w w:val="110"/>
          <w:sz w:val="26"/>
        </w:rPr>
        <w:t>Sector Transporte</w:t>
      </w:r>
    </w:p>
    <w:p>
      <w:pPr>
        <w:pStyle w:val="ListParagraph"/>
        <w:numPr>
          <w:ilvl w:val="3"/>
          <w:numId w:val="81"/>
        </w:numPr>
        <w:tabs>
          <w:tab w:pos="960" w:val="left" w:leader="none"/>
        </w:tabs>
        <w:spacing w:line="240" w:lineRule="auto" w:before="121" w:after="0"/>
        <w:ind w:left="959" w:right="1053" w:hanging="360"/>
        <w:jc w:val="both"/>
        <w:rPr>
          <w:sz w:val="23"/>
        </w:rPr>
      </w:pPr>
      <w:r>
        <w:rPr>
          <w:sz w:val="23"/>
        </w:rPr>
        <w:t>La promoción por el transporte público y el mejoramiento en la administración del tránsito. Estas políticas han de ir acompañadas por campañas educativas sobre los hábitos de conducir y prácticas de mantenimiento de los vehículos podrán ayudar a reducir el consumo de combustibles que en el caso de la conducción de camiones, las mejores prácticas podrían generar hasta un 10% de ahorro de la energía usada en flotas de vehículos pesados en la República</w:t>
      </w:r>
      <w:r>
        <w:rPr>
          <w:spacing w:val="-7"/>
          <w:sz w:val="23"/>
        </w:rPr>
        <w:t> </w:t>
      </w:r>
      <w:r>
        <w:rPr>
          <w:sz w:val="23"/>
        </w:rPr>
        <w:t>Dominicana.</w:t>
      </w:r>
    </w:p>
    <w:p>
      <w:pPr>
        <w:pStyle w:val="ListParagraph"/>
        <w:numPr>
          <w:ilvl w:val="3"/>
          <w:numId w:val="81"/>
        </w:numPr>
        <w:tabs>
          <w:tab w:pos="960" w:val="left" w:leader="none"/>
        </w:tabs>
        <w:spacing w:line="237" w:lineRule="auto" w:before="120" w:after="0"/>
        <w:ind w:left="959" w:right="1054" w:hanging="360"/>
        <w:jc w:val="both"/>
        <w:rPr>
          <w:sz w:val="23"/>
        </w:rPr>
      </w:pPr>
      <w:r>
        <w:rPr>
          <w:sz w:val="23"/>
        </w:rPr>
        <w:t>En el balance ambiental del sector energético es necesario incorporar y contabilizar los procesos derivados del transporte y almacenaje de los combustibles , siendo necesario regular los siguientes</w:t>
      </w:r>
      <w:r>
        <w:rPr>
          <w:spacing w:val="-2"/>
          <w:sz w:val="23"/>
        </w:rPr>
        <w:t> </w:t>
      </w:r>
      <w:r>
        <w:rPr>
          <w:sz w:val="23"/>
        </w:rPr>
        <w:t>aspectos:</w:t>
      </w:r>
    </w:p>
    <w:p>
      <w:pPr>
        <w:pStyle w:val="ListParagraph"/>
        <w:numPr>
          <w:ilvl w:val="4"/>
          <w:numId w:val="81"/>
        </w:numPr>
        <w:tabs>
          <w:tab w:pos="1680" w:val="left" w:leader="none"/>
        </w:tabs>
        <w:spacing w:line="240" w:lineRule="auto" w:before="121" w:after="0"/>
        <w:ind w:left="1679" w:right="0" w:hanging="361"/>
        <w:jc w:val="both"/>
        <w:rPr>
          <w:sz w:val="23"/>
        </w:rPr>
      </w:pPr>
      <w:r>
        <w:rPr>
          <w:sz w:val="23"/>
        </w:rPr>
        <w:t>Lavado de tanques de</w:t>
      </w:r>
      <w:r>
        <w:rPr>
          <w:spacing w:val="1"/>
          <w:sz w:val="23"/>
        </w:rPr>
        <w:t> </w:t>
      </w:r>
      <w:r>
        <w:rPr>
          <w:sz w:val="23"/>
        </w:rPr>
        <w:t>petroleros</w:t>
      </w:r>
    </w:p>
    <w:p>
      <w:pPr>
        <w:pStyle w:val="ListParagraph"/>
        <w:numPr>
          <w:ilvl w:val="4"/>
          <w:numId w:val="81"/>
        </w:numPr>
        <w:tabs>
          <w:tab w:pos="1680" w:val="left" w:leader="none"/>
        </w:tabs>
        <w:spacing w:line="223" w:lineRule="auto" w:before="114" w:after="0"/>
        <w:ind w:left="1679" w:right="1058" w:hanging="360"/>
        <w:jc w:val="both"/>
        <w:rPr>
          <w:sz w:val="23"/>
        </w:rPr>
      </w:pPr>
      <w:r>
        <w:rPr>
          <w:sz w:val="23"/>
        </w:rPr>
        <w:t>Control exhaustivo de vertidos y estado de conservación de los oleoductos y gaseoductos</w:t>
      </w:r>
    </w:p>
    <w:p>
      <w:pPr>
        <w:pStyle w:val="ListParagraph"/>
        <w:numPr>
          <w:ilvl w:val="4"/>
          <w:numId w:val="81"/>
        </w:numPr>
        <w:tabs>
          <w:tab w:pos="1680" w:val="left" w:leader="none"/>
        </w:tabs>
        <w:spacing w:line="223" w:lineRule="auto" w:before="136" w:after="0"/>
        <w:ind w:left="1679" w:right="1056" w:hanging="360"/>
        <w:jc w:val="both"/>
        <w:rPr>
          <w:sz w:val="23"/>
        </w:rPr>
      </w:pPr>
      <w:r>
        <w:rPr>
          <w:sz w:val="23"/>
        </w:rPr>
        <w:t>Diseño de deposititos de almacenaje de carbón y vertederos o plantas de reciclaje de la escoria y</w:t>
      </w:r>
      <w:r>
        <w:rPr>
          <w:spacing w:val="-3"/>
          <w:sz w:val="23"/>
        </w:rPr>
        <w:t> </w:t>
      </w:r>
      <w:r>
        <w:rPr>
          <w:sz w:val="23"/>
        </w:rPr>
        <w:t>cenizas</w:t>
      </w:r>
    </w:p>
    <w:p>
      <w:pPr>
        <w:pStyle w:val="Heading3"/>
        <w:spacing w:before="131"/>
        <w:ind w:left="947"/>
        <w:rPr>
          <w:i/>
        </w:rPr>
      </w:pPr>
      <w:bookmarkStart w:name="_TOC_250007" w:id="92"/>
      <w:bookmarkEnd w:id="92"/>
      <w:r>
        <w:rPr>
          <w:i/>
          <w:w w:val="110"/>
        </w:rPr>
        <w:t>Consumo Energético residencial y en el comercio.</w:t>
      </w:r>
    </w:p>
    <w:p>
      <w:pPr>
        <w:pStyle w:val="ListParagraph"/>
        <w:numPr>
          <w:ilvl w:val="3"/>
          <w:numId w:val="81"/>
        </w:numPr>
        <w:tabs>
          <w:tab w:pos="959" w:val="left" w:leader="none"/>
          <w:tab w:pos="960" w:val="left" w:leader="none"/>
        </w:tabs>
        <w:spacing w:line="240" w:lineRule="auto" w:before="121" w:after="0"/>
        <w:ind w:left="959" w:right="973" w:hanging="360"/>
        <w:jc w:val="left"/>
        <w:rPr>
          <w:sz w:val="23"/>
        </w:rPr>
      </w:pPr>
      <w:r>
        <w:rPr>
          <w:sz w:val="23"/>
        </w:rPr>
        <w:t>Producción particular de energía ante los fallos del suministro general de electricidad: Es necesario establecer una regulación sobre los modos de generación de energía privada, en lo tocante a las emisiones de gases y ruidos de las plantas, y en cuanto  a la supervisión de la instalación de estos inversores, localizados dentro de la vivienda y sin ningún aislamiento de las baterías.</w:t>
      </w:r>
    </w:p>
    <w:p>
      <w:pPr>
        <w:pStyle w:val="Heading6"/>
        <w:spacing w:before="106"/>
        <w:ind w:left="947" w:firstLine="0"/>
      </w:pPr>
      <w:bookmarkStart w:name="_TOC_250006" w:id="93"/>
      <w:bookmarkEnd w:id="93"/>
      <w:r>
        <w:rPr/>
        <w:t>Sector Industrial</w:t>
      </w:r>
    </w:p>
    <w:p>
      <w:pPr>
        <w:pStyle w:val="ListParagraph"/>
        <w:numPr>
          <w:ilvl w:val="3"/>
          <w:numId w:val="81"/>
        </w:numPr>
        <w:tabs>
          <w:tab w:pos="959" w:val="left" w:leader="none"/>
          <w:tab w:pos="960" w:val="left" w:leader="none"/>
        </w:tabs>
        <w:spacing w:line="235" w:lineRule="auto" w:before="122" w:after="0"/>
        <w:ind w:left="959" w:right="1057" w:hanging="360"/>
        <w:jc w:val="left"/>
        <w:rPr>
          <w:sz w:val="23"/>
        </w:rPr>
      </w:pPr>
      <w:r>
        <w:rPr>
          <w:sz w:val="23"/>
        </w:rPr>
        <w:t>Establecer políticas de ahorro y eficiencia en el uso y consumo de la energía, como medidas posibles para paliar los efectos del uso energético en la</w:t>
      </w:r>
      <w:r>
        <w:rPr>
          <w:spacing w:val="-17"/>
          <w:sz w:val="23"/>
        </w:rPr>
        <w:t> </w:t>
      </w:r>
      <w:r>
        <w:rPr>
          <w:sz w:val="23"/>
        </w:rPr>
        <w:t>industria.</w:t>
      </w:r>
    </w:p>
    <w:p>
      <w:pPr>
        <w:pStyle w:val="ListParagraph"/>
        <w:numPr>
          <w:ilvl w:val="3"/>
          <w:numId w:val="81"/>
        </w:numPr>
        <w:tabs>
          <w:tab w:pos="959" w:val="left" w:leader="none"/>
          <w:tab w:pos="960" w:val="left" w:leader="none"/>
        </w:tabs>
        <w:spacing w:line="240" w:lineRule="auto" w:before="124" w:after="0"/>
        <w:ind w:left="959" w:right="0" w:hanging="361"/>
        <w:jc w:val="left"/>
        <w:rPr>
          <w:sz w:val="23"/>
        </w:rPr>
      </w:pPr>
      <w:r>
        <w:rPr>
          <w:sz w:val="23"/>
        </w:rPr>
        <w:t>Incentivar la</w:t>
      </w:r>
      <w:r>
        <w:rPr>
          <w:spacing w:val="-1"/>
          <w:sz w:val="23"/>
        </w:rPr>
        <w:t> </w:t>
      </w:r>
      <w:r>
        <w:rPr>
          <w:sz w:val="23"/>
        </w:rPr>
        <w:t>cogeneración.</w:t>
      </w:r>
    </w:p>
    <w:p>
      <w:pPr>
        <w:pStyle w:val="BodyText"/>
        <w:rPr>
          <w:sz w:val="28"/>
        </w:rPr>
      </w:pPr>
    </w:p>
    <w:p>
      <w:pPr>
        <w:pStyle w:val="Heading5"/>
        <w:numPr>
          <w:ilvl w:val="2"/>
          <w:numId w:val="81"/>
        </w:numPr>
        <w:tabs>
          <w:tab w:pos="1088" w:val="left" w:leader="none"/>
        </w:tabs>
        <w:spacing w:line="240" w:lineRule="auto" w:before="177" w:after="0"/>
        <w:ind w:left="1087" w:right="0" w:hanging="849"/>
        <w:jc w:val="left"/>
      </w:pPr>
      <w:bookmarkStart w:name="_TOC_250005" w:id="94"/>
      <w:r>
        <w:rPr/>
        <w:t>Recomendaciones sobre los modos de generación</w:t>
      </w:r>
      <w:r>
        <w:rPr>
          <w:spacing w:val="-10"/>
        </w:rPr>
        <w:t> </w:t>
      </w:r>
      <w:bookmarkEnd w:id="94"/>
      <w:r>
        <w:rPr/>
        <w:t>eléctrica</w:t>
      </w:r>
    </w:p>
    <w:p>
      <w:pPr>
        <w:pStyle w:val="Heading6"/>
        <w:spacing w:before="196"/>
        <w:ind w:left="947" w:firstLine="0"/>
        <w:jc w:val="both"/>
      </w:pPr>
      <w:bookmarkStart w:name="_TOC_250004" w:id="95"/>
      <w:bookmarkEnd w:id="95"/>
      <w:r>
        <w:rPr/>
        <w:t>Plantas de generación eléctrica</w:t>
      </w:r>
    </w:p>
    <w:p>
      <w:pPr>
        <w:pStyle w:val="ListParagraph"/>
        <w:numPr>
          <w:ilvl w:val="3"/>
          <w:numId w:val="81"/>
        </w:numPr>
        <w:tabs>
          <w:tab w:pos="960" w:val="left" w:leader="none"/>
        </w:tabs>
        <w:spacing w:line="240" w:lineRule="auto" w:before="120" w:after="0"/>
        <w:ind w:left="959" w:right="1054" w:hanging="360"/>
        <w:jc w:val="both"/>
        <w:rPr>
          <w:sz w:val="23"/>
        </w:rPr>
      </w:pPr>
      <w:r>
        <w:rPr>
          <w:sz w:val="23"/>
        </w:rPr>
        <w:t>Se ha de prestar especial atención a la ubicación de las plantas y su incidencia sobre el entorno inmediatamente, mediante planes de vigilancia y control de la actividad de las mismas (contaminación de suelos, contaminación de aguas subterráneas, alteración de procesos bióticos en la costa, ruido, generación de residuos sólidos, impactos derivados de las líneas de transporte de la energía desde las plantas a los centros de transformación y distribución, etc.…). En cualquier caso han de evitarse aquellos</w:t>
      </w:r>
      <w:r>
        <w:rPr>
          <w:spacing w:val="39"/>
          <w:sz w:val="23"/>
        </w:rPr>
        <w:t> </w:t>
      </w:r>
      <w:r>
        <w:rPr>
          <w:sz w:val="23"/>
        </w:rPr>
        <w:t>lugares</w:t>
      </w:r>
      <w:r>
        <w:rPr>
          <w:spacing w:val="39"/>
          <w:sz w:val="23"/>
        </w:rPr>
        <w:t> </w:t>
      </w:r>
      <w:r>
        <w:rPr>
          <w:sz w:val="23"/>
        </w:rPr>
        <w:t>frágiles</w:t>
      </w:r>
      <w:r>
        <w:rPr>
          <w:spacing w:val="39"/>
          <w:sz w:val="23"/>
        </w:rPr>
        <w:t> </w:t>
      </w:r>
      <w:r>
        <w:rPr>
          <w:sz w:val="23"/>
        </w:rPr>
        <w:t>o</w:t>
      </w:r>
      <w:r>
        <w:rPr>
          <w:spacing w:val="39"/>
          <w:sz w:val="23"/>
        </w:rPr>
        <w:t> </w:t>
      </w:r>
      <w:r>
        <w:rPr>
          <w:sz w:val="23"/>
        </w:rPr>
        <w:t>vulnerables,</w:t>
      </w:r>
      <w:r>
        <w:rPr>
          <w:spacing w:val="40"/>
          <w:sz w:val="23"/>
        </w:rPr>
        <w:t> </w:t>
      </w:r>
      <w:r>
        <w:rPr>
          <w:sz w:val="23"/>
        </w:rPr>
        <w:t>y</w:t>
      </w:r>
      <w:r>
        <w:rPr>
          <w:spacing w:val="37"/>
          <w:sz w:val="23"/>
        </w:rPr>
        <w:t> </w:t>
      </w:r>
      <w:r>
        <w:rPr>
          <w:sz w:val="23"/>
        </w:rPr>
        <w:t>en</w:t>
      </w:r>
      <w:r>
        <w:rPr>
          <w:spacing w:val="38"/>
          <w:sz w:val="23"/>
        </w:rPr>
        <w:t> </w:t>
      </w:r>
      <w:r>
        <w:rPr>
          <w:sz w:val="23"/>
        </w:rPr>
        <w:t>especial</w:t>
      </w:r>
      <w:r>
        <w:rPr>
          <w:spacing w:val="39"/>
          <w:sz w:val="23"/>
        </w:rPr>
        <w:t> </w:t>
      </w:r>
      <w:r>
        <w:rPr>
          <w:sz w:val="23"/>
        </w:rPr>
        <w:t>los</w:t>
      </w:r>
      <w:r>
        <w:rPr>
          <w:spacing w:val="37"/>
          <w:sz w:val="23"/>
        </w:rPr>
        <w:t> </w:t>
      </w:r>
      <w:r>
        <w:rPr>
          <w:sz w:val="23"/>
        </w:rPr>
        <w:t>ecosistemas</w:t>
      </w:r>
      <w:r>
        <w:rPr>
          <w:spacing w:val="8"/>
          <w:sz w:val="23"/>
        </w:rPr>
        <w:t> </w:t>
      </w:r>
      <w:r>
        <w:rPr>
          <w:sz w:val="23"/>
        </w:rPr>
        <w:t>costeros</w:t>
      </w:r>
      <w:r>
        <w:rPr>
          <w:spacing w:val="39"/>
          <w:sz w:val="23"/>
        </w:rPr>
        <w:t> </w:t>
      </w:r>
      <w:r>
        <w:rPr>
          <w:sz w:val="23"/>
        </w:rPr>
        <w:t>o</w:t>
      </w:r>
    </w:p>
    <w:p>
      <w:pPr>
        <w:spacing w:after="0" w:line="240" w:lineRule="auto"/>
        <w:jc w:val="both"/>
        <w:rPr>
          <w:sz w:val="23"/>
        </w:rPr>
        <w:sectPr>
          <w:pgSz w:w="12240" w:h="15840"/>
          <w:pgMar w:header="718" w:footer="954" w:top="1360" w:bottom="1140" w:left="1200" w:right="380"/>
        </w:sectPr>
      </w:pPr>
    </w:p>
    <w:p>
      <w:pPr>
        <w:pStyle w:val="BodyText"/>
        <w:spacing w:before="4"/>
        <w:rPr>
          <w:sz w:val="11"/>
        </w:rPr>
      </w:pPr>
    </w:p>
    <w:p>
      <w:pPr>
        <w:pStyle w:val="BodyText"/>
        <w:spacing w:before="101"/>
        <w:ind w:left="959" w:right="1054"/>
        <w:jc w:val="both"/>
      </w:pPr>
      <w:r>
        <w:rPr/>
        <w:t>cuerpos de agua (como mínimo con los condicionantes establecidos en la Guía Ambiental para proyectos de distribución eléctrica del 2007).</w:t>
      </w:r>
    </w:p>
    <w:p>
      <w:pPr>
        <w:pStyle w:val="ListParagraph"/>
        <w:numPr>
          <w:ilvl w:val="3"/>
          <w:numId w:val="81"/>
        </w:numPr>
        <w:tabs>
          <w:tab w:pos="960" w:val="left" w:leader="none"/>
        </w:tabs>
        <w:spacing w:line="237" w:lineRule="auto" w:before="125" w:after="0"/>
        <w:ind w:left="959" w:right="1056" w:hanging="360"/>
        <w:jc w:val="both"/>
        <w:rPr>
          <w:sz w:val="23"/>
        </w:rPr>
      </w:pPr>
      <w:r>
        <w:rPr>
          <w:sz w:val="23"/>
        </w:rPr>
        <w:t>La ubicación de plantas generadoras de energía así como el transporte y depósito de combustible y residuos debe cuidar evitar la afección a terrenos kársticos y la contaminación de aguas</w:t>
      </w:r>
      <w:r>
        <w:rPr>
          <w:spacing w:val="-1"/>
          <w:sz w:val="23"/>
        </w:rPr>
        <w:t> </w:t>
      </w:r>
      <w:r>
        <w:rPr>
          <w:sz w:val="23"/>
        </w:rPr>
        <w:t>subterráneas.</w:t>
      </w:r>
    </w:p>
    <w:p>
      <w:pPr>
        <w:pStyle w:val="ListParagraph"/>
        <w:numPr>
          <w:ilvl w:val="3"/>
          <w:numId w:val="81"/>
        </w:numPr>
        <w:tabs>
          <w:tab w:pos="960" w:val="left" w:leader="none"/>
        </w:tabs>
        <w:spacing w:line="237" w:lineRule="auto" w:before="124" w:after="0"/>
        <w:ind w:left="959" w:right="1056" w:hanging="360"/>
        <w:jc w:val="both"/>
        <w:rPr>
          <w:sz w:val="23"/>
        </w:rPr>
      </w:pPr>
      <w:r>
        <w:rPr>
          <w:sz w:val="23"/>
        </w:rPr>
        <w:t>Ha de analizarse el ciclo de vida de los materiales vinculados a la generación energética, y en especial el tratamiento de los residuos generados (baterías de plomo, PCB, aceites,</w:t>
      </w:r>
      <w:r>
        <w:rPr>
          <w:spacing w:val="-1"/>
          <w:sz w:val="23"/>
        </w:rPr>
        <w:t> </w:t>
      </w:r>
      <w:r>
        <w:rPr>
          <w:sz w:val="23"/>
        </w:rPr>
        <w:t>etc.…).</w:t>
      </w:r>
    </w:p>
    <w:p>
      <w:pPr>
        <w:pStyle w:val="Heading3"/>
        <w:spacing w:before="130"/>
        <w:ind w:left="947"/>
        <w:rPr>
          <w:i/>
        </w:rPr>
      </w:pPr>
      <w:bookmarkStart w:name="_TOC_250003" w:id="96"/>
      <w:bookmarkEnd w:id="96"/>
      <w:r>
        <w:rPr>
          <w:i/>
          <w:w w:val="110"/>
        </w:rPr>
        <w:t>Plantas de Carbón</w:t>
      </w:r>
    </w:p>
    <w:p>
      <w:pPr>
        <w:pStyle w:val="ListParagraph"/>
        <w:numPr>
          <w:ilvl w:val="3"/>
          <w:numId w:val="81"/>
        </w:numPr>
        <w:tabs>
          <w:tab w:pos="960" w:val="left" w:leader="none"/>
        </w:tabs>
        <w:spacing w:line="237" w:lineRule="auto" w:before="123" w:after="0"/>
        <w:ind w:left="959" w:right="1055" w:hanging="360"/>
        <w:jc w:val="both"/>
        <w:rPr>
          <w:sz w:val="23"/>
        </w:rPr>
      </w:pPr>
      <w:r>
        <w:rPr>
          <w:sz w:val="23"/>
        </w:rPr>
        <w:t>Se ha de realizar evaluación del impacto ambiental de los depósitos y formas de almacenaje de carbón así como de las plantas de almacenamiento, reutilización y reciclaje de las</w:t>
      </w:r>
      <w:r>
        <w:rPr>
          <w:spacing w:val="1"/>
          <w:sz w:val="23"/>
        </w:rPr>
        <w:t> </w:t>
      </w:r>
      <w:r>
        <w:rPr>
          <w:sz w:val="23"/>
        </w:rPr>
        <w:t>cenizas.</w:t>
      </w:r>
    </w:p>
    <w:p>
      <w:pPr>
        <w:pStyle w:val="ListParagraph"/>
        <w:numPr>
          <w:ilvl w:val="3"/>
          <w:numId w:val="81"/>
        </w:numPr>
        <w:tabs>
          <w:tab w:pos="960" w:val="left" w:leader="none"/>
        </w:tabs>
        <w:spacing w:line="235" w:lineRule="auto" w:before="126" w:after="0"/>
        <w:ind w:left="959" w:right="1056" w:hanging="360"/>
        <w:jc w:val="both"/>
        <w:rPr>
          <w:sz w:val="23"/>
        </w:rPr>
      </w:pPr>
      <w:r>
        <w:rPr>
          <w:sz w:val="23"/>
        </w:rPr>
        <w:t>Las cenizas y escoria como residuos sólidos han de ser convenientemente tratados para evitar contaminación del aire por partículas o de las</w:t>
      </w:r>
      <w:r>
        <w:rPr>
          <w:spacing w:val="-4"/>
          <w:sz w:val="23"/>
        </w:rPr>
        <w:t> </w:t>
      </w:r>
      <w:r>
        <w:rPr>
          <w:sz w:val="23"/>
        </w:rPr>
        <w:t>aguas.</w:t>
      </w:r>
    </w:p>
    <w:p>
      <w:pPr>
        <w:pStyle w:val="ListParagraph"/>
        <w:numPr>
          <w:ilvl w:val="3"/>
          <w:numId w:val="81"/>
        </w:numPr>
        <w:tabs>
          <w:tab w:pos="960" w:val="left" w:leader="none"/>
        </w:tabs>
        <w:spacing w:line="240" w:lineRule="auto" w:before="124" w:after="0"/>
        <w:ind w:left="959" w:right="1054" w:hanging="360"/>
        <w:jc w:val="both"/>
        <w:rPr>
          <w:sz w:val="23"/>
        </w:rPr>
      </w:pPr>
      <w:r>
        <w:rPr>
          <w:sz w:val="23"/>
        </w:rPr>
        <w:t>Se ha de abordar la problemática ambiental presentada en algunos puertos de descarga de combustible por falta de medidas de prevención y control de la contaminación, especialmente atmosférica y de aguas costeras. Se deben analizar los impactos ambientales derivados del transporte y almacenaje del carbón en puerto y de este hasta las</w:t>
      </w:r>
      <w:r>
        <w:rPr>
          <w:spacing w:val="-1"/>
          <w:sz w:val="23"/>
        </w:rPr>
        <w:t> </w:t>
      </w:r>
      <w:r>
        <w:rPr>
          <w:sz w:val="23"/>
        </w:rPr>
        <w:t>plantas.</w:t>
      </w:r>
    </w:p>
    <w:p>
      <w:pPr>
        <w:pStyle w:val="Heading3"/>
        <w:spacing w:before="123"/>
        <w:ind w:left="947"/>
        <w:rPr>
          <w:i/>
        </w:rPr>
      </w:pPr>
      <w:bookmarkStart w:name="_TOC_250002" w:id="97"/>
      <w:bookmarkEnd w:id="97"/>
      <w:r>
        <w:rPr>
          <w:i/>
          <w:w w:val="110"/>
        </w:rPr>
        <w:t>Generación por gas natural.</w:t>
      </w:r>
    </w:p>
    <w:p>
      <w:pPr>
        <w:pStyle w:val="ListParagraph"/>
        <w:numPr>
          <w:ilvl w:val="3"/>
          <w:numId w:val="81"/>
        </w:numPr>
        <w:tabs>
          <w:tab w:pos="960" w:val="left" w:leader="none"/>
        </w:tabs>
        <w:spacing w:line="237" w:lineRule="auto" w:before="122" w:after="0"/>
        <w:ind w:left="959" w:right="1055" w:hanging="360"/>
        <w:jc w:val="both"/>
        <w:rPr>
          <w:sz w:val="23"/>
        </w:rPr>
      </w:pPr>
      <w:r>
        <w:rPr>
          <w:sz w:val="23"/>
        </w:rPr>
        <w:t>La construcción de gaseoductos desde los lugares de descarga, y el almacenamiento han de ser analizadas con cautela por los posibles impactos ambientales que puedan generar el trazado de los</w:t>
      </w:r>
      <w:r>
        <w:rPr>
          <w:spacing w:val="-1"/>
          <w:sz w:val="23"/>
        </w:rPr>
        <w:t> </w:t>
      </w:r>
      <w:r>
        <w:rPr>
          <w:sz w:val="23"/>
        </w:rPr>
        <w:t>mismos.</w:t>
      </w:r>
    </w:p>
    <w:p>
      <w:pPr>
        <w:pStyle w:val="ListParagraph"/>
        <w:numPr>
          <w:ilvl w:val="3"/>
          <w:numId w:val="81"/>
        </w:numPr>
        <w:tabs>
          <w:tab w:pos="960" w:val="left" w:leader="none"/>
        </w:tabs>
        <w:spacing w:line="240" w:lineRule="auto" w:before="122" w:after="0"/>
        <w:ind w:left="959" w:right="0" w:hanging="361"/>
        <w:jc w:val="both"/>
        <w:rPr>
          <w:sz w:val="23"/>
        </w:rPr>
      </w:pPr>
      <w:r>
        <w:rPr>
          <w:sz w:val="23"/>
        </w:rPr>
        <w:t>Adecuada señalización para evitar accidentes en futuras</w:t>
      </w:r>
      <w:r>
        <w:rPr>
          <w:spacing w:val="-7"/>
          <w:sz w:val="23"/>
        </w:rPr>
        <w:t> </w:t>
      </w:r>
      <w:r>
        <w:rPr>
          <w:sz w:val="23"/>
        </w:rPr>
        <w:t>instalaciones.</w:t>
      </w:r>
    </w:p>
    <w:p>
      <w:pPr>
        <w:pStyle w:val="Heading3"/>
        <w:spacing w:before="125"/>
        <w:ind w:left="947"/>
        <w:rPr>
          <w:i/>
        </w:rPr>
      </w:pPr>
      <w:bookmarkStart w:name="_TOC_250001" w:id="98"/>
      <w:bookmarkEnd w:id="98"/>
      <w:r>
        <w:rPr>
          <w:i/>
          <w:w w:val="110"/>
        </w:rPr>
        <w:t>Energías Renovables</w:t>
      </w:r>
    </w:p>
    <w:p>
      <w:pPr>
        <w:pStyle w:val="Heading8"/>
        <w:spacing w:line="240" w:lineRule="auto" w:before="229"/>
        <w:ind w:left="239" w:firstLine="0"/>
        <w:jc w:val="left"/>
        <w:rPr>
          <w:u w:val="none"/>
        </w:rPr>
      </w:pPr>
      <w:r>
        <w:rPr>
          <w:u w:val="single"/>
        </w:rPr>
        <w:t>Biocombustibles</w:t>
      </w:r>
    </w:p>
    <w:p>
      <w:pPr>
        <w:pStyle w:val="BodyText"/>
        <w:spacing w:before="236"/>
        <w:ind w:left="239" w:right="1054"/>
        <w:jc w:val="both"/>
      </w:pPr>
      <w:r>
        <w:rPr/>
        <w:t>La puesta en producción masiva de cultivos destinados a la producción de biocombustibles puede acarrear problemas ambientales, ya que además de cambios en el uso de la tierra,  al tratarse de cultivos no alimenticios, cabe esperar un incremento en el uso de pesticidas y fertilizantes con riesgos para el suelo y aguas subterráneas sino se practica una agricultura integrada o respetuosa con el medio ambiente. Por otra parte, la agricultura para biocombustibles se presenta como una puerta de entrada a cultivos transgénicos, con efectos de hibridación sobre explotaciones alimenticias</w:t>
      </w:r>
      <w:r>
        <w:rPr>
          <w:spacing w:val="-4"/>
        </w:rPr>
        <w:t> </w:t>
      </w:r>
      <w:r>
        <w:rPr/>
        <w:t>próximas.</w:t>
      </w:r>
    </w:p>
    <w:p>
      <w:pPr>
        <w:pStyle w:val="BodyText"/>
        <w:spacing w:before="1"/>
      </w:pPr>
    </w:p>
    <w:p>
      <w:pPr>
        <w:pStyle w:val="BodyText"/>
        <w:spacing w:before="1"/>
        <w:ind w:left="239" w:right="985"/>
      </w:pPr>
      <w:r>
        <w:rPr/>
        <w:t>De cara a evitar afecciones ambientales, la reconversión de superficies agrarias hacia la producción de biocombustibles se ha de hacer bajo los siguientes condicionantes de partida:</w:t>
      </w:r>
    </w:p>
    <w:p>
      <w:pPr>
        <w:pStyle w:val="ListParagraph"/>
        <w:numPr>
          <w:ilvl w:val="3"/>
          <w:numId w:val="81"/>
        </w:numPr>
        <w:tabs>
          <w:tab w:pos="959" w:val="left" w:leader="none"/>
          <w:tab w:pos="960" w:val="left" w:leader="none"/>
        </w:tabs>
        <w:spacing w:line="240" w:lineRule="auto" w:before="120" w:after="0"/>
        <w:ind w:left="960" w:right="0" w:hanging="360"/>
        <w:jc w:val="left"/>
        <w:rPr>
          <w:sz w:val="23"/>
        </w:rPr>
      </w:pPr>
      <w:r>
        <w:rPr>
          <w:sz w:val="23"/>
        </w:rPr>
        <w:t>No comprometer tierras destinadas a cultivos de</w:t>
      </w:r>
      <w:r>
        <w:rPr>
          <w:spacing w:val="-4"/>
          <w:sz w:val="23"/>
        </w:rPr>
        <w:t> </w:t>
      </w:r>
      <w:r>
        <w:rPr>
          <w:sz w:val="23"/>
        </w:rPr>
        <w:t>subsistencia.</w:t>
      </w:r>
    </w:p>
    <w:p>
      <w:pPr>
        <w:pStyle w:val="ListParagraph"/>
        <w:numPr>
          <w:ilvl w:val="3"/>
          <w:numId w:val="81"/>
        </w:numPr>
        <w:tabs>
          <w:tab w:pos="959" w:val="left" w:leader="none"/>
          <w:tab w:pos="960" w:val="left" w:leader="none"/>
        </w:tabs>
        <w:spacing w:line="240" w:lineRule="auto" w:before="117" w:after="0"/>
        <w:ind w:left="960" w:right="0" w:hanging="361"/>
        <w:jc w:val="left"/>
        <w:rPr>
          <w:sz w:val="23"/>
        </w:rPr>
      </w:pPr>
      <w:r>
        <w:rPr>
          <w:sz w:val="23"/>
        </w:rPr>
        <w:t>Evitar los sistemas agrarios de montaña o en ladera para estos</w:t>
      </w:r>
      <w:r>
        <w:rPr>
          <w:spacing w:val="-10"/>
          <w:sz w:val="23"/>
        </w:rPr>
        <w:t> </w:t>
      </w:r>
      <w:r>
        <w:rPr>
          <w:sz w:val="23"/>
        </w:rPr>
        <w:t>cultivos.</w:t>
      </w:r>
    </w:p>
    <w:p>
      <w:pPr>
        <w:spacing w:after="0" w:line="240" w:lineRule="auto"/>
        <w:jc w:val="left"/>
        <w:rPr>
          <w:sz w:val="23"/>
        </w:rPr>
        <w:sectPr>
          <w:pgSz w:w="12240" w:h="15840"/>
          <w:pgMar w:header="718" w:footer="954" w:top="1360" w:bottom="1140" w:left="1200" w:right="380"/>
        </w:sectPr>
      </w:pPr>
    </w:p>
    <w:p>
      <w:pPr>
        <w:pStyle w:val="BodyText"/>
        <w:spacing w:before="6"/>
        <w:rPr>
          <w:sz w:val="11"/>
        </w:rPr>
      </w:pPr>
    </w:p>
    <w:p>
      <w:pPr>
        <w:pStyle w:val="ListParagraph"/>
        <w:numPr>
          <w:ilvl w:val="3"/>
          <w:numId w:val="81"/>
        </w:numPr>
        <w:tabs>
          <w:tab w:pos="960" w:val="left" w:leader="none"/>
        </w:tabs>
        <w:spacing w:line="240" w:lineRule="auto" w:before="100" w:after="0"/>
        <w:ind w:left="960" w:right="0" w:hanging="361"/>
        <w:jc w:val="both"/>
        <w:rPr>
          <w:sz w:val="23"/>
        </w:rPr>
      </w:pPr>
      <w:r>
        <w:rPr>
          <w:sz w:val="23"/>
        </w:rPr>
        <w:t>Evitar la puesta en producción de terrenos que alberguen vegetación</w:t>
      </w:r>
      <w:r>
        <w:rPr>
          <w:spacing w:val="-7"/>
          <w:sz w:val="23"/>
        </w:rPr>
        <w:t> </w:t>
      </w:r>
      <w:r>
        <w:rPr>
          <w:sz w:val="23"/>
        </w:rPr>
        <w:t>natural.</w:t>
      </w:r>
    </w:p>
    <w:p>
      <w:pPr>
        <w:pStyle w:val="ListParagraph"/>
        <w:numPr>
          <w:ilvl w:val="3"/>
          <w:numId w:val="81"/>
        </w:numPr>
        <w:tabs>
          <w:tab w:pos="960" w:val="left" w:leader="none"/>
        </w:tabs>
        <w:spacing w:line="240" w:lineRule="auto" w:before="119" w:after="0"/>
        <w:ind w:left="959" w:right="0" w:hanging="361"/>
        <w:jc w:val="both"/>
        <w:rPr>
          <w:sz w:val="23"/>
        </w:rPr>
      </w:pPr>
      <w:r>
        <w:rPr>
          <w:sz w:val="23"/>
        </w:rPr>
        <w:t>Control estricto sobre el uso de pesticidas y fertilizantes en estos</w:t>
      </w:r>
      <w:r>
        <w:rPr>
          <w:spacing w:val="-11"/>
          <w:sz w:val="23"/>
        </w:rPr>
        <w:t> </w:t>
      </w:r>
      <w:r>
        <w:rPr>
          <w:sz w:val="23"/>
        </w:rPr>
        <w:t>cultivos.</w:t>
      </w:r>
    </w:p>
    <w:p>
      <w:pPr>
        <w:pStyle w:val="ListParagraph"/>
        <w:numPr>
          <w:ilvl w:val="3"/>
          <w:numId w:val="81"/>
        </w:numPr>
        <w:tabs>
          <w:tab w:pos="960" w:val="left" w:leader="none"/>
        </w:tabs>
        <w:spacing w:line="240" w:lineRule="auto" w:before="117" w:after="0"/>
        <w:ind w:left="959" w:right="1054" w:hanging="360"/>
        <w:jc w:val="both"/>
        <w:rPr>
          <w:sz w:val="23"/>
        </w:rPr>
      </w:pPr>
      <w:r>
        <w:rPr>
          <w:sz w:val="23"/>
        </w:rPr>
        <w:t>Se han de someter a la evaluación de impacto ambiental a los proyectos de fincas energéticas, plantaciones e infraestructuras agropecuarias o agroindustriales de cualquier magnitud, destinadas exclusivamente a la producción de biomasa con destino a consumo energético, de aceites vegetales o de presión para fabricación de biodiesel, así como plantas hidrolizadoras productoras de licores de azúcares (glucosas, xilosas y otros) para fabricación de etanol carburante y/o para energía  y/o</w:t>
      </w:r>
      <w:r>
        <w:rPr>
          <w:spacing w:val="-1"/>
          <w:sz w:val="23"/>
        </w:rPr>
        <w:t> </w:t>
      </w:r>
      <w:r>
        <w:rPr>
          <w:sz w:val="23"/>
        </w:rPr>
        <w:t>biocombustibles).</w:t>
      </w:r>
    </w:p>
    <w:p>
      <w:pPr>
        <w:pStyle w:val="ListParagraph"/>
        <w:numPr>
          <w:ilvl w:val="3"/>
          <w:numId w:val="81"/>
        </w:numPr>
        <w:tabs>
          <w:tab w:pos="960" w:val="left" w:leader="none"/>
        </w:tabs>
        <w:spacing w:line="235" w:lineRule="auto" w:before="121" w:after="0"/>
        <w:ind w:left="959" w:right="1055" w:hanging="360"/>
        <w:jc w:val="both"/>
        <w:rPr>
          <w:sz w:val="23"/>
        </w:rPr>
      </w:pPr>
      <w:r>
        <w:rPr>
          <w:sz w:val="23"/>
        </w:rPr>
        <w:t>Se recomienda que los cultivos de biocombustibles se hagan sobre terrenos llanos, con arreglo a los criterios y con un estricto control de la</w:t>
      </w:r>
      <w:r>
        <w:rPr>
          <w:spacing w:val="-7"/>
          <w:sz w:val="23"/>
        </w:rPr>
        <w:t> </w:t>
      </w:r>
      <w:r>
        <w:rPr>
          <w:sz w:val="23"/>
        </w:rPr>
        <w:t>SEMARENA.</w:t>
      </w:r>
    </w:p>
    <w:p>
      <w:pPr>
        <w:pStyle w:val="Heading8"/>
        <w:spacing w:line="240" w:lineRule="auto" w:before="233"/>
        <w:ind w:left="239" w:firstLine="0"/>
        <w:jc w:val="left"/>
        <w:rPr>
          <w:u w:val="none"/>
        </w:rPr>
      </w:pPr>
      <w:r>
        <w:rPr>
          <w:u w:val="single"/>
        </w:rPr>
        <w:t>Producción Hidroeléctrica</w:t>
      </w:r>
    </w:p>
    <w:p>
      <w:pPr>
        <w:pStyle w:val="ListParagraph"/>
        <w:numPr>
          <w:ilvl w:val="3"/>
          <w:numId w:val="81"/>
        </w:numPr>
        <w:tabs>
          <w:tab w:pos="960" w:val="left" w:leader="none"/>
        </w:tabs>
        <w:spacing w:line="240" w:lineRule="auto" w:before="237" w:after="0"/>
        <w:ind w:left="959" w:right="1054" w:hanging="360"/>
        <w:jc w:val="both"/>
        <w:rPr>
          <w:sz w:val="23"/>
        </w:rPr>
      </w:pPr>
      <w:r>
        <w:rPr>
          <w:sz w:val="23"/>
        </w:rPr>
        <w:t>Se ha de acometer un manejo integral del recurso hídrico en sus áreas de influencia que permita el aprovechamiento de generación de energía hidráulica sin comprometer los otros usos, como el riego, abastecimiento y de forma muy especial la regulación de las inundaciones.</w:t>
      </w:r>
    </w:p>
    <w:p>
      <w:pPr>
        <w:pStyle w:val="ListParagraph"/>
        <w:numPr>
          <w:ilvl w:val="3"/>
          <w:numId w:val="81"/>
        </w:numPr>
        <w:tabs>
          <w:tab w:pos="960" w:val="left" w:leader="none"/>
        </w:tabs>
        <w:spacing w:line="240" w:lineRule="auto" w:before="119" w:after="0"/>
        <w:ind w:left="959" w:right="1054" w:hanging="360"/>
        <w:jc w:val="both"/>
        <w:rPr>
          <w:sz w:val="23"/>
        </w:rPr>
      </w:pPr>
      <w:r>
        <w:rPr>
          <w:sz w:val="23"/>
        </w:rPr>
        <w:t>La política hidráulica debe ir acompañada de una política forestal adecuada aguas arriba. En este sentido se propone crear la figura de Bosque Protector para paliar la erosión y pérdida de suelos que contribuyen al incremento de la velocidad de acumulación de sedimentos en las presas (a este respecto la ejecución de la política reforestadora del Plan Quisqueya Verde contribuye positivamente al freno de la erosión).</w:t>
      </w:r>
    </w:p>
    <w:p>
      <w:pPr>
        <w:pStyle w:val="ListParagraph"/>
        <w:numPr>
          <w:ilvl w:val="3"/>
          <w:numId w:val="81"/>
        </w:numPr>
        <w:tabs>
          <w:tab w:pos="960" w:val="left" w:leader="none"/>
        </w:tabs>
        <w:spacing w:line="235" w:lineRule="auto" w:before="121" w:after="0"/>
        <w:ind w:left="959" w:right="1055" w:hanging="360"/>
        <w:jc w:val="both"/>
        <w:rPr>
          <w:sz w:val="23"/>
        </w:rPr>
      </w:pPr>
      <w:r>
        <w:rPr>
          <w:sz w:val="23"/>
        </w:rPr>
        <w:t>Se debe evitar la construcción de nuevas presas en espacios naturales protegidos o aguas arriba de</w:t>
      </w:r>
      <w:r>
        <w:rPr>
          <w:spacing w:val="-3"/>
          <w:sz w:val="23"/>
        </w:rPr>
        <w:t> </w:t>
      </w:r>
      <w:r>
        <w:rPr>
          <w:sz w:val="23"/>
        </w:rPr>
        <w:t>estos.</w:t>
      </w:r>
    </w:p>
    <w:p>
      <w:pPr>
        <w:pStyle w:val="ListParagraph"/>
        <w:numPr>
          <w:ilvl w:val="3"/>
          <w:numId w:val="81"/>
        </w:numPr>
        <w:tabs>
          <w:tab w:pos="960" w:val="left" w:leader="none"/>
        </w:tabs>
        <w:spacing w:line="237" w:lineRule="auto" w:before="126" w:after="0"/>
        <w:ind w:left="959" w:right="1055" w:hanging="360"/>
        <w:jc w:val="both"/>
        <w:rPr>
          <w:sz w:val="23"/>
        </w:rPr>
      </w:pPr>
      <w:r>
        <w:rPr>
          <w:sz w:val="23"/>
        </w:rPr>
        <w:t>Del mismo modo, ante la construcción de nuevas presas ha de prestarse atención al uso de las riberas aguas abajo, tanto para evitar posibles daños por desbordamientos de las mismas, como para evitar una disminución en los recursos hídricos.</w:t>
      </w:r>
    </w:p>
    <w:p>
      <w:pPr>
        <w:pStyle w:val="Heading8"/>
        <w:spacing w:line="240" w:lineRule="auto" w:before="234"/>
        <w:ind w:left="239" w:firstLine="0"/>
        <w:jc w:val="left"/>
        <w:rPr>
          <w:u w:val="none"/>
        </w:rPr>
      </w:pPr>
      <w:r>
        <w:rPr>
          <w:u w:val="single"/>
        </w:rPr>
        <w:t>Energía eólica</w:t>
      </w:r>
    </w:p>
    <w:p>
      <w:pPr>
        <w:pStyle w:val="ListParagraph"/>
        <w:numPr>
          <w:ilvl w:val="3"/>
          <w:numId w:val="81"/>
        </w:numPr>
        <w:tabs>
          <w:tab w:pos="960" w:val="left" w:leader="none"/>
        </w:tabs>
        <w:spacing w:line="240" w:lineRule="auto" w:before="240" w:after="0"/>
        <w:ind w:left="959" w:right="1054" w:hanging="360"/>
        <w:jc w:val="both"/>
        <w:rPr>
          <w:sz w:val="23"/>
        </w:rPr>
      </w:pPr>
      <w:r>
        <w:rPr>
          <w:sz w:val="23"/>
        </w:rPr>
        <w:t>Es necesario establecer áreas de excusión eólica en las cuales no se permita, por condicionantes ambientales, la instalación de parques eólicos. El que el mapa de potencial eólico demuestre que algunos de los lugares con potencial “bueno o excelente” se localicen en el corazón de algunos de los espacios significativos resulta preocupante desde el punto de vista ambiental.</w:t>
      </w:r>
    </w:p>
    <w:p>
      <w:pPr>
        <w:pStyle w:val="ListParagraph"/>
        <w:numPr>
          <w:ilvl w:val="3"/>
          <w:numId w:val="81"/>
        </w:numPr>
        <w:tabs>
          <w:tab w:pos="960" w:val="left" w:leader="none"/>
        </w:tabs>
        <w:spacing w:line="237" w:lineRule="auto" w:before="120" w:after="0"/>
        <w:ind w:left="959" w:right="1054" w:hanging="360"/>
        <w:jc w:val="both"/>
        <w:rPr>
          <w:sz w:val="23"/>
        </w:rPr>
      </w:pPr>
      <w:r>
        <w:rPr>
          <w:sz w:val="23"/>
        </w:rPr>
        <w:t>Los parques eólicos no deben ser por tanto analizados exclusivamente como una instalación localizada allí donde se ubican los aerogeneradores, sino que se ha de incluir en el análisis de de su incidencia ambiental los necesarios tendidos eléctricos, los</w:t>
      </w:r>
      <w:r>
        <w:rPr>
          <w:spacing w:val="20"/>
          <w:sz w:val="23"/>
        </w:rPr>
        <w:t> </w:t>
      </w:r>
      <w:r>
        <w:rPr>
          <w:sz w:val="23"/>
        </w:rPr>
        <w:t>cuales,</w:t>
      </w:r>
      <w:r>
        <w:rPr>
          <w:spacing w:val="21"/>
          <w:sz w:val="23"/>
        </w:rPr>
        <w:t> </w:t>
      </w:r>
      <w:r>
        <w:rPr>
          <w:sz w:val="23"/>
        </w:rPr>
        <w:t>y</w:t>
      </w:r>
      <w:r>
        <w:rPr>
          <w:spacing w:val="21"/>
          <w:sz w:val="23"/>
        </w:rPr>
        <w:t> </w:t>
      </w:r>
      <w:r>
        <w:rPr>
          <w:sz w:val="23"/>
        </w:rPr>
        <w:t>dadas</w:t>
      </w:r>
      <w:r>
        <w:rPr>
          <w:spacing w:val="21"/>
          <w:sz w:val="23"/>
        </w:rPr>
        <w:t> </w:t>
      </w:r>
      <w:r>
        <w:rPr>
          <w:sz w:val="23"/>
        </w:rPr>
        <w:t>las</w:t>
      </w:r>
      <w:r>
        <w:rPr>
          <w:spacing w:val="19"/>
          <w:sz w:val="23"/>
        </w:rPr>
        <w:t> </w:t>
      </w:r>
      <w:r>
        <w:rPr>
          <w:sz w:val="23"/>
        </w:rPr>
        <w:t>ubicaciones</w:t>
      </w:r>
      <w:r>
        <w:rPr>
          <w:spacing w:val="19"/>
          <w:sz w:val="23"/>
        </w:rPr>
        <w:t> </w:t>
      </w:r>
      <w:r>
        <w:rPr>
          <w:sz w:val="23"/>
        </w:rPr>
        <w:t>en</w:t>
      </w:r>
      <w:r>
        <w:rPr>
          <w:spacing w:val="20"/>
          <w:sz w:val="23"/>
        </w:rPr>
        <w:t> </w:t>
      </w:r>
      <w:r>
        <w:rPr>
          <w:sz w:val="23"/>
        </w:rPr>
        <w:t>estudio,</w:t>
      </w:r>
      <w:r>
        <w:rPr>
          <w:spacing w:val="17"/>
          <w:sz w:val="23"/>
        </w:rPr>
        <w:t> </w:t>
      </w:r>
      <w:r>
        <w:rPr>
          <w:sz w:val="23"/>
        </w:rPr>
        <w:t>en</w:t>
      </w:r>
      <w:r>
        <w:rPr>
          <w:spacing w:val="20"/>
          <w:sz w:val="23"/>
        </w:rPr>
        <w:t> </w:t>
      </w:r>
      <w:r>
        <w:rPr>
          <w:sz w:val="23"/>
        </w:rPr>
        <w:t>las</w:t>
      </w:r>
      <w:r>
        <w:rPr>
          <w:spacing w:val="21"/>
          <w:sz w:val="23"/>
        </w:rPr>
        <w:t> </w:t>
      </w:r>
      <w:r>
        <w:rPr>
          <w:sz w:val="23"/>
        </w:rPr>
        <w:t>costas</w:t>
      </w:r>
      <w:r>
        <w:rPr>
          <w:spacing w:val="21"/>
          <w:sz w:val="23"/>
        </w:rPr>
        <w:t> </w:t>
      </w:r>
      <w:r>
        <w:rPr>
          <w:sz w:val="23"/>
        </w:rPr>
        <w:t>y</w:t>
      </w:r>
      <w:r>
        <w:rPr>
          <w:spacing w:val="21"/>
          <w:sz w:val="23"/>
        </w:rPr>
        <w:t> </w:t>
      </w:r>
      <w:r>
        <w:rPr>
          <w:sz w:val="23"/>
        </w:rPr>
        <w:t>alejadas</w:t>
      </w:r>
      <w:r>
        <w:rPr>
          <w:spacing w:val="21"/>
          <w:sz w:val="23"/>
        </w:rPr>
        <w:t> </w:t>
      </w:r>
      <w:r>
        <w:rPr>
          <w:sz w:val="23"/>
        </w:rPr>
        <w:t>del</w:t>
      </w:r>
      <w:r>
        <w:rPr>
          <w:spacing w:val="21"/>
          <w:sz w:val="23"/>
        </w:rPr>
        <w:t> </w:t>
      </w:r>
      <w:r>
        <w:rPr>
          <w:sz w:val="23"/>
        </w:rPr>
        <w:t>circuito</w:t>
      </w:r>
    </w:p>
    <w:p>
      <w:pPr>
        <w:spacing w:after="0" w:line="237" w:lineRule="auto"/>
        <w:jc w:val="both"/>
        <w:rPr>
          <w:sz w:val="23"/>
        </w:rPr>
        <w:sectPr>
          <w:pgSz w:w="12240" w:h="15840"/>
          <w:pgMar w:header="718" w:footer="954" w:top="1360" w:bottom="1140" w:left="1200" w:right="380"/>
        </w:sectPr>
      </w:pPr>
    </w:p>
    <w:p>
      <w:pPr>
        <w:pStyle w:val="BodyText"/>
        <w:spacing w:before="4"/>
        <w:rPr>
          <w:sz w:val="11"/>
        </w:rPr>
      </w:pPr>
    </w:p>
    <w:p>
      <w:pPr>
        <w:pStyle w:val="BodyText"/>
        <w:spacing w:before="101"/>
        <w:ind w:left="959" w:right="1057"/>
        <w:jc w:val="both"/>
      </w:pPr>
      <w:r>
        <w:rPr/>
        <w:t>existente de distribución de la energía, se verán abocados a atravesar territorios que en ocasiones conllevarán un fuerte impacto ecológico y paisajístico.</w:t>
      </w:r>
    </w:p>
    <w:p>
      <w:pPr>
        <w:pStyle w:val="ListParagraph"/>
        <w:numPr>
          <w:ilvl w:val="3"/>
          <w:numId w:val="81"/>
        </w:numPr>
        <w:tabs>
          <w:tab w:pos="960" w:val="left" w:leader="none"/>
        </w:tabs>
        <w:spacing w:line="237" w:lineRule="auto" w:before="125" w:after="0"/>
        <w:ind w:left="959" w:right="1054" w:hanging="360"/>
        <w:jc w:val="both"/>
        <w:rPr>
          <w:sz w:val="23"/>
        </w:rPr>
      </w:pPr>
      <w:r>
        <w:rPr>
          <w:sz w:val="23"/>
        </w:rPr>
        <w:t>Debido al ruido generado por la rotación de las aspas se aconseja que los parques se encuentren suficientemente alejados de los núcleos de población, siendo necesario aplicar modelos de contaminación acústica para calcular la distancia idónea para la ubicación de los</w:t>
      </w:r>
      <w:r>
        <w:rPr>
          <w:spacing w:val="-2"/>
          <w:sz w:val="23"/>
        </w:rPr>
        <w:t> </w:t>
      </w:r>
      <w:r>
        <w:rPr>
          <w:sz w:val="23"/>
        </w:rPr>
        <w:t>parques.</w:t>
      </w:r>
    </w:p>
    <w:p>
      <w:pPr>
        <w:pStyle w:val="ListParagraph"/>
        <w:numPr>
          <w:ilvl w:val="3"/>
          <w:numId w:val="81"/>
        </w:numPr>
        <w:tabs>
          <w:tab w:pos="960" w:val="left" w:leader="none"/>
        </w:tabs>
        <w:spacing w:line="240" w:lineRule="auto" w:before="125" w:after="0"/>
        <w:ind w:left="959" w:right="1054" w:hanging="360"/>
        <w:jc w:val="both"/>
        <w:rPr>
          <w:sz w:val="23"/>
        </w:rPr>
      </w:pPr>
      <w:r>
        <w:rPr>
          <w:sz w:val="23"/>
        </w:rPr>
        <w:t>En los preceptivos estudios de impacto ambiental y de forma específica en los proyectos. Debe prestarse una especial atención a la apertura de viales, cunetas, edificaciones de control y subestación. Todas estas intervenciones causan una alteración del suelo y de la cubierta vegetal y, en ocasiones, pequeñas modificaciones geomorfológicas por desmontes o</w:t>
      </w:r>
      <w:r>
        <w:rPr>
          <w:spacing w:val="-5"/>
          <w:sz w:val="23"/>
        </w:rPr>
        <w:t> </w:t>
      </w:r>
      <w:r>
        <w:rPr>
          <w:sz w:val="23"/>
        </w:rPr>
        <w:t>aplanamientos.</w:t>
      </w:r>
    </w:p>
    <w:p>
      <w:pPr>
        <w:spacing w:after="0" w:line="240" w:lineRule="auto"/>
        <w:jc w:val="both"/>
        <w:rPr>
          <w:sz w:val="23"/>
        </w:rPr>
        <w:sectPr>
          <w:pgSz w:w="12240" w:h="15840"/>
          <w:pgMar w:header="718" w:footer="954" w:top="1360" w:bottom="1140" w:left="1200" w:right="380"/>
        </w:sectPr>
      </w:pPr>
    </w:p>
    <w:p>
      <w:pPr>
        <w:pStyle w:val="BodyText"/>
        <w:spacing w:before="5"/>
        <w:rPr>
          <w:sz w:val="11"/>
        </w:rPr>
      </w:pPr>
    </w:p>
    <w:p>
      <w:pPr>
        <w:pStyle w:val="Heading5"/>
        <w:spacing w:before="99"/>
        <w:ind w:left="1985" w:right="2805" w:firstLine="0"/>
        <w:jc w:val="center"/>
        <w:rPr>
          <w:rFonts w:ascii="Tahoma"/>
        </w:rPr>
      </w:pPr>
      <w:bookmarkStart w:name="_TOC_250000" w:id="99"/>
      <w:bookmarkEnd w:id="99"/>
      <w:r>
        <w:rPr>
          <w:rFonts w:ascii="Tahoma"/>
        </w:rPr>
        <w:t>ANEXOS</w:t>
      </w:r>
    </w:p>
    <w:p>
      <w:pPr>
        <w:pStyle w:val="BodyText"/>
        <w:rPr>
          <w:b/>
          <w:sz w:val="28"/>
        </w:rPr>
      </w:pPr>
    </w:p>
    <w:p>
      <w:pPr>
        <w:pStyle w:val="ListParagraph"/>
        <w:numPr>
          <w:ilvl w:val="0"/>
          <w:numId w:val="83"/>
        </w:numPr>
        <w:tabs>
          <w:tab w:pos="668" w:val="left" w:leader="none"/>
        </w:tabs>
        <w:spacing w:line="240" w:lineRule="auto" w:before="244" w:after="0"/>
        <w:ind w:left="667" w:right="1057" w:hanging="428"/>
        <w:jc w:val="both"/>
        <w:rPr>
          <w:sz w:val="23"/>
        </w:rPr>
      </w:pPr>
      <w:r>
        <w:rPr>
          <w:b/>
          <w:sz w:val="23"/>
        </w:rPr>
        <w:t>DIAGNÓSTICO Y DEFINICIÓN DE LÍNEAS ESTRATÉGICAS DEL SUB-SECTOR ELÉCTRICO</w:t>
      </w:r>
      <w:r>
        <w:rPr>
          <w:sz w:val="23"/>
        </w:rPr>
        <w:t>, Manuel Ignacio Dussan, Enero de</w:t>
      </w:r>
      <w:r>
        <w:rPr>
          <w:spacing w:val="-3"/>
          <w:sz w:val="23"/>
        </w:rPr>
        <w:t> </w:t>
      </w:r>
      <w:r>
        <w:rPr>
          <w:sz w:val="23"/>
        </w:rPr>
        <w:t>2008.</w:t>
      </w:r>
    </w:p>
    <w:p>
      <w:pPr>
        <w:pStyle w:val="BodyText"/>
      </w:pPr>
    </w:p>
    <w:p>
      <w:pPr>
        <w:pStyle w:val="ListParagraph"/>
        <w:numPr>
          <w:ilvl w:val="0"/>
          <w:numId w:val="83"/>
        </w:numPr>
        <w:tabs>
          <w:tab w:pos="668" w:val="left" w:leader="none"/>
        </w:tabs>
        <w:spacing w:line="240" w:lineRule="auto" w:before="0" w:after="0"/>
        <w:ind w:left="667" w:right="1054" w:hanging="428"/>
        <w:jc w:val="both"/>
        <w:rPr>
          <w:sz w:val="23"/>
        </w:rPr>
      </w:pPr>
      <w:r>
        <w:rPr>
          <w:b/>
          <w:sz w:val="23"/>
        </w:rPr>
        <w:t>DIAGNÓSTICO Y DEFINICIÓN DE LÍNEAS ESTRATÉGICAS SOBRE EL USO RACIONAL DE ENERGÍA (URE) EN REPÚBLICA DOMINICANA</w:t>
      </w:r>
      <w:r>
        <w:rPr>
          <w:sz w:val="23"/>
        </w:rPr>
        <w:t>, Odón de Buen R., Enero de 2008.</w:t>
      </w:r>
    </w:p>
    <w:p>
      <w:pPr>
        <w:pStyle w:val="BodyText"/>
        <w:spacing w:before="11"/>
        <w:rPr>
          <w:sz w:val="22"/>
        </w:rPr>
      </w:pPr>
    </w:p>
    <w:p>
      <w:pPr>
        <w:pStyle w:val="ListParagraph"/>
        <w:numPr>
          <w:ilvl w:val="0"/>
          <w:numId w:val="83"/>
        </w:numPr>
        <w:tabs>
          <w:tab w:pos="667" w:val="left" w:leader="none"/>
          <w:tab w:pos="668" w:val="left" w:leader="none"/>
        </w:tabs>
        <w:spacing w:line="240" w:lineRule="auto" w:before="0" w:after="0"/>
        <w:ind w:left="667" w:right="0" w:hanging="429"/>
        <w:jc w:val="left"/>
        <w:rPr>
          <w:sz w:val="23"/>
        </w:rPr>
      </w:pPr>
      <w:r>
        <w:rPr>
          <w:b/>
          <w:sz w:val="23"/>
        </w:rPr>
        <w:t>DIAGNÓSTICO SECTOR HIDROCARBUROS</w:t>
      </w:r>
      <w:r>
        <w:rPr>
          <w:sz w:val="23"/>
        </w:rPr>
        <w:t>, Jorge E. Lapeña, Enero de</w:t>
      </w:r>
      <w:r>
        <w:rPr>
          <w:spacing w:val="-6"/>
          <w:sz w:val="23"/>
        </w:rPr>
        <w:t> </w:t>
      </w:r>
      <w:r>
        <w:rPr>
          <w:sz w:val="23"/>
        </w:rPr>
        <w:t>2008.</w:t>
      </w:r>
    </w:p>
    <w:p>
      <w:pPr>
        <w:pStyle w:val="BodyText"/>
        <w:spacing w:before="1"/>
      </w:pPr>
    </w:p>
    <w:p>
      <w:pPr>
        <w:pStyle w:val="ListParagraph"/>
        <w:numPr>
          <w:ilvl w:val="0"/>
          <w:numId w:val="83"/>
        </w:numPr>
        <w:tabs>
          <w:tab w:pos="668" w:val="left" w:leader="none"/>
        </w:tabs>
        <w:spacing w:line="240" w:lineRule="auto" w:before="0" w:after="0"/>
        <w:ind w:left="667" w:right="1055" w:hanging="428"/>
        <w:jc w:val="both"/>
        <w:rPr>
          <w:sz w:val="23"/>
        </w:rPr>
      </w:pPr>
      <w:r>
        <w:rPr>
          <w:b/>
          <w:sz w:val="23"/>
        </w:rPr>
        <w:t>DIAGNÓSTICO Y DEFINICIÓN DE LÍNEAS ESTRATÉGICAS DEL SUBSECTOR FUENTES DE ENERGÍA NUEVAS Y RENOVABLES (FENR), </w:t>
      </w:r>
      <w:r>
        <w:rPr>
          <w:sz w:val="23"/>
        </w:rPr>
        <w:t>Humberto Rodríguez M, Enero de 2008.</w:t>
      </w:r>
    </w:p>
    <w:p>
      <w:pPr>
        <w:pStyle w:val="BodyText"/>
        <w:spacing w:before="10"/>
        <w:rPr>
          <w:sz w:val="22"/>
        </w:rPr>
      </w:pPr>
    </w:p>
    <w:p>
      <w:pPr>
        <w:pStyle w:val="ListParagraph"/>
        <w:numPr>
          <w:ilvl w:val="0"/>
          <w:numId w:val="83"/>
        </w:numPr>
        <w:tabs>
          <w:tab w:pos="668" w:val="left" w:leader="none"/>
        </w:tabs>
        <w:spacing w:line="240" w:lineRule="auto" w:before="1" w:after="0"/>
        <w:ind w:left="667" w:right="1056" w:hanging="428"/>
        <w:jc w:val="both"/>
        <w:rPr>
          <w:sz w:val="23"/>
        </w:rPr>
      </w:pPr>
      <w:r>
        <w:rPr>
          <w:b/>
          <w:sz w:val="23"/>
        </w:rPr>
        <w:t>INTEGRACIÓN DE LOS ESTUDIOS SUBSECTORIALES</w:t>
      </w:r>
      <w:r>
        <w:rPr>
          <w:sz w:val="23"/>
        </w:rPr>
        <w:t>, Félix Betancourt, Julio de 2008.</w:t>
      </w:r>
    </w:p>
    <w:p>
      <w:pPr>
        <w:pStyle w:val="BodyText"/>
        <w:spacing w:before="12"/>
        <w:rPr>
          <w:sz w:val="22"/>
        </w:rPr>
      </w:pPr>
    </w:p>
    <w:p>
      <w:pPr>
        <w:pStyle w:val="ListParagraph"/>
        <w:numPr>
          <w:ilvl w:val="0"/>
          <w:numId w:val="83"/>
        </w:numPr>
        <w:tabs>
          <w:tab w:pos="668" w:val="left" w:leader="none"/>
        </w:tabs>
        <w:spacing w:line="240" w:lineRule="auto" w:before="0" w:after="0"/>
        <w:ind w:left="667" w:right="1058" w:hanging="428"/>
        <w:jc w:val="both"/>
        <w:rPr>
          <w:sz w:val="23"/>
        </w:rPr>
      </w:pPr>
      <w:r>
        <w:rPr>
          <w:b/>
          <w:sz w:val="23"/>
        </w:rPr>
        <w:t>ESTUDIO PROSPECTIVA DE LA DEMANDA DE ENERGÍA DE REPÚBLICA DOMINICANA</w:t>
      </w:r>
      <w:r>
        <w:rPr>
          <w:sz w:val="23"/>
        </w:rPr>
        <w:t>, Fundación Bariloche, Agosto de</w:t>
      </w:r>
      <w:r>
        <w:rPr>
          <w:spacing w:val="-5"/>
          <w:sz w:val="23"/>
        </w:rPr>
        <w:t> </w:t>
      </w:r>
      <w:r>
        <w:rPr>
          <w:sz w:val="23"/>
        </w:rPr>
        <w:t>2008.</w:t>
      </w:r>
    </w:p>
    <w:p>
      <w:pPr>
        <w:pStyle w:val="BodyText"/>
        <w:spacing w:before="12"/>
        <w:rPr>
          <w:sz w:val="22"/>
        </w:rPr>
      </w:pPr>
    </w:p>
    <w:p>
      <w:pPr>
        <w:pStyle w:val="ListParagraph"/>
        <w:numPr>
          <w:ilvl w:val="0"/>
          <w:numId w:val="83"/>
        </w:numPr>
        <w:tabs>
          <w:tab w:pos="668" w:val="left" w:leader="none"/>
        </w:tabs>
        <w:spacing w:line="240" w:lineRule="auto" w:before="0" w:after="0"/>
        <w:ind w:left="667" w:right="1055" w:hanging="428"/>
        <w:jc w:val="both"/>
        <w:rPr>
          <w:sz w:val="23"/>
        </w:rPr>
      </w:pPr>
      <w:r>
        <w:rPr>
          <w:b/>
          <w:sz w:val="23"/>
        </w:rPr>
        <w:t>PLAN DE ACCIÓN PARA MODERNIZAR EL SECTOR ELÉCTRICO EN LA REPÚBLICA DOMINICANA</w:t>
      </w:r>
      <w:r>
        <w:rPr>
          <w:sz w:val="23"/>
        </w:rPr>
        <w:t>, Banco Interamericano de Desarrollo y Banco Mundial, Agosto de 2009.</w:t>
      </w:r>
    </w:p>
    <w:p>
      <w:pPr>
        <w:pStyle w:val="BodyText"/>
      </w:pPr>
    </w:p>
    <w:p>
      <w:pPr>
        <w:pStyle w:val="ListParagraph"/>
        <w:numPr>
          <w:ilvl w:val="0"/>
          <w:numId w:val="83"/>
        </w:numPr>
        <w:tabs>
          <w:tab w:pos="668" w:val="left" w:leader="none"/>
        </w:tabs>
        <w:spacing w:line="240" w:lineRule="auto" w:before="0" w:after="0"/>
        <w:ind w:left="667" w:right="1055" w:hanging="428"/>
        <w:jc w:val="both"/>
        <w:rPr>
          <w:sz w:val="23"/>
        </w:rPr>
      </w:pPr>
      <w:r>
        <w:rPr>
          <w:b/>
          <w:sz w:val="23"/>
        </w:rPr>
        <w:t>EVALUACIÓN AMBIENTAL ESTRATÉGICA (EAE) DEL PLAN ENERGÉTICO NACIONAL (PEN) 2010-2025 DE LA REPÚBLICA DOMINICANA</w:t>
      </w:r>
      <w:r>
        <w:rPr>
          <w:sz w:val="23"/>
        </w:rPr>
        <w:t>, TAU Consultores Ambientales, Enero de</w:t>
      </w:r>
      <w:r>
        <w:rPr>
          <w:spacing w:val="-2"/>
          <w:sz w:val="23"/>
        </w:rPr>
        <w:t> </w:t>
      </w:r>
      <w:r>
        <w:rPr>
          <w:sz w:val="23"/>
        </w:rPr>
        <w:t>2010.</w:t>
      </w:r>
    </w:p>
    <w:sectPr>
      <w:pgSz w:w="12240" w:h="15840"/>
      <w:pgMar w:header="718" w:footer="954" w:top="1360" w:bottom="1140" w:left="12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Tahoma">
    <w:altName w:val="Tahoma"/>
    <w:charset w:val="0"/>
    <w:family w:val="swiss"/>
    <w:pitch w:val="variable"/>
  </w:font>
  <w:font w:name="Verdana">
    <w:altName w:val="Verdana"/>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0.320007pt;width:470.879989pt;height:.48pt;mso-position-horizontal-relative:page;mso-position-vertical-relative:page;z-index:-19211776" filled="true" fillcolor="#000000" stroked="false">
          <v:fill type="solid"/>
          <w10:wrap type="none"/>
        </v:rect>
      </w:pict>
    </w:r>
    <w:r>
      <w:rPr/>
      <w:pict>
        <v:shape style="position:absolute;margin-left:518.395203pt;margin-top:730.75415pt;width:12.55pt;height:16.5pt;mso-position-horizontal-relative:page;mso-position-vertical-relative:page;z-index:-19211264" type="#_x0000_t202" filled="false" stroked="false">
          <v:textbox inset="0,0,0,0">
            <w:txbxContent>
              <w:p>
                <w:pPr>
                  <w:spacing w:before="20"/>
                  <w:ind w:left="60" w:right="0" w:firstLine="0"/>
                  <w:jc w:val="left"/>
                  <w:rPr>
                    <w:sz w:val="24"/>
                  </w:rPr>
                </w:pPr>
                <w:r>
                  <w:rPr/>
                  <w:fldChar w:fldCharType="begin"/>
                </w:r>
                <w:r>
                  <w:rPr>
                    <w:w w:val="99"/>
                    <w:sz w:val="24"/>
                  </w:rPr>
                  <w:instrText> PAGE </w:instrText>
                </w:r>
                <w:r>
                  <w:rPr/>
                  <w:fldChar w:fldCharType="separate"/>
                </w:r>
                <w:r>
                  <w:rPr/>
                  <w:t>1</w:t>
                </w:r>
                <w:r>
                  <w:rPr/>
                  <w:fldChar w:fldCharType="end"/>
                </w:r>
              </w:p>
            </w:txbxContent>
          </v:textbox>
          <w10:wrap type="none"/>
        </v:shape>
      </w:pict>
    </w:r>
    <w:r>
      <w:rPr/>
      <w:pict>
        <v:shape style="position:absolute;margin-left:70.999969pt;margin-top:734.716125pt;width:40.75pt;height:11.75pt;mso-position-horizontal-relative:page;mso-position-vertical-relative:page;z-index:-19210752" type="#_x0000_t202" filled="false" stroked="false">
          <v:textbox inset="0,0,0,0">
            <w:txbxContent>
              <w:p>
                <w:pPr>
                  <w:spacing w:before="21"/>
                  <w:ind w:left="20" w:right="0" w:firstLine="0"/>
                  <w:jc w:val="left"/>
                  <w:rPr>
                    <w:sz w:val="16"/>
                  </w:rPr>
                </w:pPr>
                <w:r>
                  <w:rPr>
                    <w:sz w:val="16"/>
                  </w:rPr>
                  <w:t>Mayo 2010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0.320007pt;width:470.879989pt;height:.48pt;mso-position-horizontal-relative:page;mso-position-vertical-relative:page;z-index:-19208192" filled="true" fillcolor="#000000" stroked="false">
          <v:fill type="solid"/>
          <w10:wrap type="none"/>
        </v:rect>
      </w:pict>
    </w:r>
    <w:r>
      <w:rPr/>
      <w:pict>
        <v:shape style="position:absolute;margin-left:518.395203pt;margin-top:730.75415pt;width:12.55pt;height:16.5pt;mso-position-horizontal-relative:page;mso-position-vertical-relative:page;z-index:-19207680" type="#_x0000_t202" filled="false" stroked="false">
          <v:textbox inset="0,0,0,0">
            <w:txbxContent>
              <w:p>
                <w:pPr>
                  <w:spacing w:before="20"/>
                  <w:ind w:left="60" w:right="0" w:firstLine="0"/>
                  <w:jc w:val="left"/>
                  <w:rPr>
                    <w:sz w:val="24"/>
                  </w:rPr>
                </w:pPr>
                <w:r>
                  <w:rPr/>
                  <w:fldChar w:fldCharType="begin"/>
                </w:r>
                <w:r>
                  <w:rPr>
                    <w:w w:val="99"/>
                    <w:sz w:val="24"/>
                  </w:rPr>
                  <w:instrText> PAGE </w:instrText>
                </w:r>
                <w:r>
                  <w:rPr/>
                  <w:fldChar w:fldCharType="separate"/>
                </w:r>
                <w:r>
                  <w:rPr/>
                  <w:t>1</w:t>
                </w:r>
                <w:r>
                  <w:rPr/>
                  <w:fldChar w:fldCharType="end"/>
                </w:r>
              </w:p>
            </w:txbxContent>
          </v:textbox>
          <w10:wrap type="none"/>
        </v:shape>
      </w:pict>
    </w:r>
    <w:r>
      <w:rPr/>
      <w:pict>
        <v:shape style="position:absolute;margin-left:70.999969pt;margin-top:734.716125pt;width:40.75pt;height:11.75pt;mso-position-horizontal-relative:page;mso-position-vertical-relative:page;z-index:-19207168" type="#_x0000_t202" filled="false" stroked="false">
          <v:textbox inset="0,0,0,0">
            <w:txbxContent>
              <w:p>
                <w:pPr>
                  <w:spacing w:before="21"/>
                  <w:ind w:left="20" w:right="0" w:firstLine="0"/>
                  <w:jc w:val="left"/>
                  <w:rPr>
                    <w:sz w:val="16"/>
                  </w:rPr>
                </w:pPr>
                <w:r>
                  <w:rPr>
                    <w:sz w:val="16"/>
                  </w:rPr>
                  <w:t>Mayo 2010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0.320007pt;width:470.879989pt;height:.48pt;mso-position-horizontal-relative:page;mso-position-vertical-relative:page;z-index:-19204608" filled="true" fillcolor="#000000" stroked="false">
          <v:fill type="solid"/>
          <w10:wrap type="none"/>
        </v:rect>
      </w:pict>
    </w:r>
    <w:r>
      <w:rPr/>
      <w:pict>
        <v:shape style="position:absolute;margin-left:511.91571pt;margin-top:730.75415pt;width:19.150pt;height:16.5pt;mso-position-horizontal-relative:page;mso-position-vertical-relative:page;z-index:-19204096"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r>
      <w:rPr/>
      <w:pict>
        <v:shape style="position:absolute;margin-left:70.999969pt;margin-top:734.716125pt;width:40.75pt;height:11.75pt;mso-position-horizontal-relative:page;mso-position-vertical-relative:page;z-index:-19203584" type="#_x0000_t202" filled="false" stroked="false">
          <v:textbox inset="0,0,0,0">
            <w:txbxContent>
              <w:p>
                <w:pPr>
                  <w:spacing w:before="21"/>
                  <w:ind w:left="20" w:right="0" w:firstLine="0"/>
                  <w:jc w:val="left"/>
                  <w:rPr>
                    <w:sz w:val="16"/>
                  </w:rPr>
                </w:pPr>
                <w:r>
                  <w:rPr>
                    <w:sz w:val="16"/>
                  </w:rPr>
                  <w:t>Mayo 2010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550.320007pt;width:650.879985pt;height:.48pt;mso-position-horizontal-relative:page;mso-position-vertical-relative:page;z-index:-19201024" filled="true" fillcolor="#000000" stroked="false">
          <v:fill type="solid"/>
          <w10:wrap type="none"/>
        </v:rect>
      </w:pict>
    </w:r>
    <w:r>
      <w:rPr/>
      <w:pict>
        <v:shape style="position:absolute;margin-left:511.919708pt;margin-top:550.753906pt;width:19.2pt;height:16.5pt;mso-position-horizontal-relative:page;mso-position-vertical-relative:page;z-index:-19200512"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39</w:t>
                </w:r>
                <w:r>
                  <w:rPr/>
                  <w:fldChar w:fldCharType="end"/>
                </w:r>
              </w:p>
            </w:txbxContent>
          </v:textbox>
          <w10:wrap type="none"/>
        </v:shape>
      </w:pict>
    </w:r>
    <w:r>
      <w:rPr/>
      <w:pict>
        <v:shape style="position:absolute;margin-left:70.999969pt;margin-top:554.715881pt;width:40.75pt;height:11.75pt;mso-position-horizontal-relative:page;mso-position-vertical-relative:page;z-index:-19200000" type="#_x0000_t202" filled="false" stroked="false">
          <v:textbox inset="0,0,0,0">
            <w:txbxContent>
              <w:p>
                <w:pPr>
                  <w:spacing w:before="21"/>
                  <w:ind w:left="20" w:right="0" w:firstLine="0"/>
                  <w:jc w:val="left"/>
                  <w:rPr>
                    <w:sz w:val="16"/>
                  </w:rPr>
                </w:pPr>
                <w:r>
                  <w:rPr>
                    <w:sz w:val="16"/>
                  </w:rPr>
                  <w:t>Mayo 2010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0.320007pt;width:470.879989pt;height:.48pt;mso-position-horizontal-relative:page;mso-position-vertical-relative:page;z-index:-19197440" filled="true" fillcolor="#000000" stroked="false">
          <v:fill type="solid"/>
          <w10:wrap type="none"/>
        </v:rect>
      </w:pict>
    </w:r>
    <w:r>
      <w:rPr/>
      <w:pict>
        <v:shape style="position:absolute;margin-left:511.91571pt;margin-top:730.75415pt;width:19.150pt;height:16.5pt;mso-position-horizontal-relative:page;mso-position-vertical-relative:page;z-index:-19196928"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41</w:t>
                </w:r>
                <w:r>
                  <w:rPr/>
                  <w:fldChar w:fldCharType="end"/>
                </w:r>
              </w:p>
            </w:txbxContent>
          </v:textbox>
          <w10:wrap type="none"/>
        </v:shape>
      </w:pict>
    </w:r>
    <w:r>
      <w:rPr/>
      <w:pict>
        <v:shape style="position:absolute;margin-left:70.999969pt;margin-top:734.716125pt;width:40.75pt;height:11.75pt;mso-position-horizontal-relative:page;mso-position-vertical-relative:page;z-index:-19196416" type="#_x0000_t202" filled="false" stroked="false">
          <v:textbox inset="0,0,0,0">
            <w:txbxContent>
              <w:p>
                <w:pPr>
                  <w:spacing w:before="21"/>
                  <w:ind w:left="20" w:right="0" w:firstLine="0"/>
                  <w:jc w:val="left"/>
                  <w:rPr>
                    <w:sz w:val="16"/>
                  </w:rPr>
                </w:pPr>
                <w:r>
                  <w:rPr>
                    <w:sz w:val="16"/>
                  </w:rPr>
                  <w:t>Mayo 2010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0.320007pt;width:470.879989pt;height:.48pt;mso-position-horizontal-relative:page;mso-position-vertical-relative:page;z-index:-19194368" filled="true" fillcolor="#000000" stroked="false">
          <v:fill type="solid"/>
          <w10:wrap type="none"/>
        </v:rect>
      </w:pict>
    </w:r>
    <w:r>
      <w:rPr/>
      <w:pict>
        <v:shape style="position:absolute;margin-left:511.91571pt;margin-top:730.770203pt;width:19.150pt;height:16.5pt;mso-position-horizontal-relative:page;mso-position-vertical-relative:page;z-index:-19193856" type="#_x0000_t202" filled="false" stroked="false">
          <v:textbox inset="0,0,0,0">
            <w:txbxContent>
              <w:p>
                <w:pPr>
                  <w:spacing w:before="19"/>
                  <w:ind w:left="60" w:right="0" w:firstLine="0"/>
                  <w:jc w:val="left"/>
                  <w:rPr>
                    <w:sz w:val="24"/>
                  </w:rPr>
                </w:pPr>
                <w:r>
                  <w:rPr/>
                  <w:fldChar w:fldCharType="begin"/>
                </w:r>
                <w:r>
                  <w:rPr>
                    <w:sz w:val="24"/>
                  </w:rPr>
                  <w:instrText> PAGE </w:instrText>
                </w:r>
                <w:r>
                  <w:rPr/>
                  <w:fldChar w:fldCharType="separate"/>
                </w:r>
                <w:r>
                  <w:rPr/>
                  <w:t>75</w:t>
                </w:r>
                <w:r>
                  <w:rPr/>
                  <w:fldChar w:fldCharType="end"/>
                </w:r>
              </w:p>
            </w:txbxContent>
          </v:textbox>
          <w10:wrap type="none"/>
        </v:shape>
      </w:pict>
    </w:r>
    <w:r>
      <w:rPr/>
      <w:pict>
        <v:shape style="position:absolute;margin-left:70.999969pt;margin-top:734.716125pt;width:40.75pt;height:11.75pt;mso-position-horizontal-relative:page;mso-position-vertical-relative:page;z-index:-19193344" type="#_x0000_t202" filled="false" stroked="false">
          <v:textbox inset="0,0,0,0">
            <w:txbxContent>
              <w:p>
                <w:pPr>
                  <w:spacing w:before="21"/>
                  <w:ind w:left="20" w:right="0" w:firstLine="0"/>
                  <w:jc w:val="left"/>
                  <w:rPr>
                    <w:sz w:val="16"/>
                  </w:rPr>
                </w:pPr>
                <w:r>
                  <w:rPr>
                    <w:sz w:val="16"/>
                  </w:rPr>
                  <w:t>Mayo 2010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0.320007pt;width:470.879989pt;height:.48pt;mso-position-horizontal-relative:page;mso-position-vertical-relative:page;z-index:-19190784" filled="true" fillcolor="#000000" stroked="false">
          <v:fill type="solid"/>
          <w10:wrap type="none"/>
        </v:rect>
      </w:pict>
    </w:r>
    <w:r>
      <w:rPr/>
      <w:pict>
        <v:shape style="position:absolute;margin-left:505.316467pt;margin-top:730.770203pt;width:25.75pt;height:16.5pt;mso-position-horizontal-relative:page;mso-position-vertical-relative:page;z-index:-19190272" type="#_x0000_t202" filled="false" stroked="false">
          <v:textbox inset="0,0,0,0">
            <w:txbxContent>
              <w:p>
                <w:pPr>
                  <w:spacing w:before="19"/>
                  <w:ind w:left="60" w:right="0" w:firstLine="0"/>
                  <w:jc w:val="left"/>
                  <w:rPr>
                    <w:sz w:val="24"/>
                  </w:rPr>
                </w:pPr>
                <w:r>
                  <w:rPr/>
                  <w:fldChar w:fldCharType="begin"/>
                </w:r>
                <w:r>
                  <w:rPr>
                    <w:sz w:val="24"/>
                  </w:rPr>
                  <w:instrText> PAGE </w:instrText>
                </w:r>
                <w:r>
                  <w:rPr/>
                  <w:fldChar w:fldCharType="separate"/>
                </w:r>
                <w:r>
                  <w:rPr/>
                  <w:t>100</w:t>
                </w:r>
                <w:r>
                  <w:rPr/>
                  <w:fldChar w:fldCharType="end"/>
                </w:r>
              </w:p>
            </w:txbxContent>
          </v:textbox>
          <w10:wrap type="none"/>
        </v:shape>
      </w:pict>
    </w:r>
    <w:r>
      <w:rPr/>
      <w:pict>
        <v:shape style="position:absolute;margin-left:70.999969pt;margin-top:734.716125pt;width:40.75pt;height:11.75pt;mso-position-horizontal-relative:page;mso-position-vertical-relative:page;z-index:-19189760" type="#_x0000_t202" filled="false" stroked="false">
          <v:textbox inset="0,0,0,0">
            <w:txbxContent>
              <w:p>
                <w:pPr>
                  <w:spacing w:before="21"/>
                  <w:ind w:left="20" w:right="0" w:firstLine="0"/>
                  <w:jc w:val="left"/>
                  <w:rPr>
                    <w:sz w:val="16"/>
                  </w:rPr>
                </w:pPr>
                <w:r>
                  <w:rPr>
                    <w:sz w:val="16"/>
                  </w:rPr>
                  <w:t>Mayo 2010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68.280014pt;width:470.879989pt;height:.48pt;mso-position-horizontal-relative:page;mso-position-vertical-relative:page;z-index:-192138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70.999969pt;margin-top:34.876377pt;width:164.5pt;height:11.75pt;mso-position-horizontal-relative:page;mso-position-vertical-relative:page;z-index:-19213312" type="#_x0000_t202" filled="false" stroked="false">
          <v:textbox inset="0,0,0,0">
            <w:txbxContent>
              <w:p>
                <w:pPr>
                  <w:spacing w:before="21"/>
                  <w:ind w:left="20" w:right="0" w:firstLine="0"/>
                  <w:jc w:val="left"/>
                  <w:rPr>
                    <w:b/>
                    <w:sz w:val="16"/>
                  </w:rPr>
                </w:pPr>
                <w:r>
                  <w:rPr>
                    <w:b/>
                    <w:sz w:val="16"/>
                  </w:rPr>
                  <w:t>Plan Energético Nacional (PEN) 2010-25</w:t>
                </w:r>
              </w:p>
            </w:txbxContent>
          </v:textbox>
          <w10:wrap type="none"/>
        </v:shape>
      </w:pict>
    </w:r>
    <w:r>
      <w:rPr/>
      <w:pict>
        <v:shape style="position:absolute;margin-left:385.04425pt;margin-top:34.876377pt;width:144.050pt;height:11.75pt;mso-position-horizontal-relative:page;mso-position-vertical-relative:page;z-index:-19212800" type="#_x0000_t202" filled="false" stroked="false">
          <v:textbox inset="0,0,0,0">
            <w:txbxContent>
              <w:p>
                <w:pPr>
                  <w:spacing w:before="21"/>
                  <w:ind w:left="20" w:right="0" w:firstLine="0"/>
                  <w:jc w:val="left"/>
                  <w:rPr>
                    <w:b/>
                    <w:sz w:val="16"/>
                  </w:rPr>
                </w:pPr>
                <w:r>
                  <w:rPr>
                    <w:b/>
                    <w:sz w:val="16"/>
                  </w:rPr>
                  <w:t>COMISIÓN NACIONAL DE ENERGÍA</w:t>
                </w:r>
              </w:p>
            </w:txbxContent>
          </v:textbox>
          <w10:wrap type="none"/>
        </v:shape>
      </w:pict>
    </w:r>
    <w:r>
      <w:rPr/>
      <w:pict>
        <v:shape style="position:absolute;margin-left:252.559616pt;margin-top:56.476368pt;width:106.85pt;height:11.75pt;mso-position-horizontal-relative:page;mso-position-vertical-relative:page;z-index:-19212288" type="#_x0000_t202" filled="false" stroked="false">
          <v:textbox inset="0,0,0,0">
            <w:txbxContent>
              <w:p>
                <w:pPr>
                  <w:spacing w:before="20"/>
                  <w:ind w:left="20" w:right="0" w:firstLine="0"/>
                  <w:jc w:val="left"/>
                  <w:rPr>
                    <w:b/>
                    <w:sz w:val="16"/>
                  </w:rPr>
                </w:pPr>
                <w:r>
                  <w:rPr>
                    <w:b/>
                    <w:sz w:val="16"/>
                  </w:rPr>
                  <w:t>REPÚBLICA DOMINICANA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68.280014pt;width:470.879989pt;height:.48pt;mso-position-horizontal-relative:page;mso-position-vertical-relative:page;z-index:-19210240" filled="true" fillcolor="#000000" stroked="false">
          <v:fill type="solid"/>
          <w10:wrap type="none"/>
        </v:rect>
      </w:pict>
    </w:r>
    <w:r>
      <w:rPr/>
      <w:pict>
        <v:shape style="position:absolute;margin-left:70.999969pt;margin-top:34.876377pt;width:164.5pt;height:11.75pt;mso-position-horizontal-relative:page;mso-position-vertical-relative:page;z-index:-19209728" type="#_x0000_t202" filled="false" stroked="false">
          <v:textbox inset="0,0,0,0">
            <w:txbxContent>
              <w:p>
                <w:pPr>
                  <w:spacing w:before="21"/>
                  <w:ind w:left="20" w:right="0" w:firstLine="0"/>
                  <w:jc w:val="left"/>
                  <w:rPr>
                    <w:b/>
                    <w:sz w:val="16"/>
                  </w:rPr>
                </w:pPr>
                <w:r>
                  <w:rPr>
                    <w:b/>
                    <w:sz w:val="16"/>
                  </w:rPr>
                  <w:t>Plan Energético Nacional (PEN) 2010-25</w:t>
                </w:r>
              </w:p>
            </w:txbxContent>
          </v:textbox>
          <w10:wrap type="none"/>
        </v:shape>
      </w:pict>
    </w:r>
    <w:r>
      <w:rPr/>
      <w:pict>
        <v:shape style="position:absolute;margin-left:385.04425pt;margin-top:34.876377pt;width:144.050pt;height:11.75pt;mso-position-horizontal-relative:page;mso-position-vertical-relative:page;z-index:-19209216" type="#_x0000_t202" filled="false" stroked="false">
          <v:textbox inset="0,0,0,0">
            <w:txbxContent>
              <w:p>
                <w:pPr>
                  <w:spacing w:before="21"/>
                  <w:ind w:left="20" w:right="0" w:firstLine="0"/>
                  <w:jc w:val="left"/>
                  <w:rPr>
                    <w:b/>
                    <w:sz w:val="16"/>
                  </w:rPr>
                </w:pPr>
                <w:r>
                  <w:rPr>
                    <w:b/>
                    <w:sz w:val="16"/>
                  </w:rPr>
                  <w:t>COMISIÓN NACIONAL DE ENERGÍA</w:t>
                </w:r>
              </w:p>
            </w:txbxContent>
          </v:textbox>
          <w10:wrap type="none"/>
        </v:shape>
      </w:pict>
    </w:r>
    <w:r>
      <w:rPr/>
      <w:pict>
        <v:shape style="position:absolute;margin-left:252.559616pt;margin-top:56.476368pt;width:106.85pt;height:11.75pt;mso-position-horizontal-relative:page;mso-position-vertical-relative:page;z-index:-19208704" type="#_x0000_t202" filled="false" stroked="false">
          <v:textbox inset="0,0,0,0">
            <w:txbxContent>
              <w:p>
                <w:pPr>
                  <w:spacing w:before="20"/>
                  <w:ind w:left="20" w:right="0" w:firstLine="0"/>
                  <w:jc w:val="left"/>
                  <w:rPr>
                    <w:b/>
                    <w:sz w:val="16"/>
                  </w:rPr>
                </w:pPr>
                <w:r>
                  <w:rPr>
                    <w:b/>
                    <w:sz w:val="16"/>
                  </w:rPr>
                  <w:t>REPÚBLICA DOMINICANA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68.280014pt;width:470.879989pt;height:.48pt;mso-position-horizontal-relative:page;mso-position-vertical-relative:page;z-index:-19206656" filled="true" fillcolor="#000000" stroked="false">
          <v:fill type="solid"/>
          <w10:wrap type="none"/>
        </v:rect>
      </w:pict>
    </w:r>
    <w:r>
      <w:rPr/>
      <w:pict>
        <v:shape style="position:absolute;margin-left:70.999969pt;margin-top:34.876377pt;width:164.5pt;height:11.75pt;mso-position-horizontal-relative:page;mso-position-vertical-relative:page;z-index:-19206144" type="#_x0000_t202" filled="false" stroked="false">
          <v:textbox inset="0,0,0,0">
            <w:txbxContent>
              <w:p>
                <w:pPr>
                  <w:spacing w:before="21"/>
                  <w:ind w:left="20" w:right="0" w:firstLine="0"/>
                  <w:jc w:val="left"/>
                  <w:rPr>
                    <w:b/>
                    <w:sz w:val="16"/>
                  </w:rPr>
                </w:pPr>
                <w:r>
                  <w:rPr>
                    <w:b/>
                    <w:sz w:val="16"/>
                  </w:rPr>
                  <w:t>Plan Energético Nacional (PEN) 2010-25</w:t>
                </w:r>
              </w:p>
            </w:txbxContent>
          </v:textbox>
          <w10:wrap type="none"/>
        </v:shape>
      </w:pict>
    </w:r>
    <w:r>
      <w:rPr/>
      <w:pict>
        <v:shape style="position:absolute;margin-left:385.04425pt;margin-top:34.876377pt;width:144.050pt;height:11.75pt;mso-position-horizontal-relative:page;mso-position-vertical-relative:page;z-index:-19205632" type="#_x0000_t202" filled="false" stroked="false">
          <v:textbox inset="0,0,0,0">
            <w:txbxContent>
              <w:p>
                <w:pPr>
                  <w:spacing w:before="21"/>
                  <w:ind w:left="20" w:right="0" w:firstLine="0"/>
                  <w:jc w:val="left"/>
                  <w:rPr>
                    <w:b/>
                    <w:sz w:val="16"/>
                  </w:rPr>
                </w:pPr>
                <w:r>
                  <w:rPr>
                    <w:b/>
                    <w:sz w:val="16"/>
                  </w:rPr>
                  <w:t>COMISIÓN NACIONAL DE ENERGÍA</w:t>
                </w:r>
              </w:p>
            </w:txbxContent>
          </v:textbox>
          <w10:wrap type="none"/>
        </v:shape>
      </w:pict>
    </w:r>
    <w:r>
      <w:rPr/>
      <w:pict>
        <v:shape style="position:absolute;margin-left:252.559616pt;margin-top:56.476368pt;width:106.85pt;height:11.75pt;mso-position-horizontal-relative:page;mso-position-vertical-relative:page;z-index:-19205120" type="#_x0000_t202" filled="false" stroked="false">
          <v:textbox inset="0,0,0,0">
            <w:txbxContent>
              <w:p>
                <w:pPr>
                  <w:spacing w:before="20"/>
                  <w:ind w:left="20" w:right="0" w:firstLine="0"/>
                  <w:jc w:val="left"/>
                  <w:rPr>
                    <w:b/>
                    <w:sz w:val="16"/>
                  </w:rPr>
                </w:pPr>
                <w:r>
                  <w:rPr>
                    <w:b/>
                    <w:sz w:val="16"/>
                  </w:rPr>
                  <w:t>REPÚBLICA DOMINICANA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68.279999pt;width:650.879985pt;height:.48pt;mso-position-horizontal-relative:page;mso-position-vertical-relative:page;z-index:-19203072" filled="true" fillcolor="#000000" stroked="false">
          <v:fill type="solid"/>
          <w10:wrap type="none"/>
        </v:rect>
      </w:pict>
    </w:r>
    <w:r>
      <w:rPr/>
      <w:pict>
        <v:shape style="position:absolute;margin-left:70.999969pt;margin-top:34.876060pt;width:164.5pt;height:11.75pt;mso-position-horizontal-relative:page;mso-position-vertical-relative:page;z-index:-19202560" type="#_x0000_t202" filled="false" stroked="false">
          <v:textbox inset="0,0,0,0">
            <w:txbxContent>
              <w:p>
                <w:pPr>
                  <w:spacing w:before="21"/>
                  <w:ind w:left="20" w:right="0" w:firstLine="0"/>
                  <w:jc w:val="left"/>
                  <w:rPr>
                    <w:b/>
                    <w:sz w:val="16"/>
                  </w:rPr>
                </w:pPr>
                <w:r>
                  <w:rPr>
                    <w:b/>
                    <w:sz w:val="16"/>
                  </w:rPr>
                  <w:t>Plan Energético Nacional (PEN) 2010-25</w:t>
                </w:r>
              </w:p>
            </w:txbxContent>
          </v:textbox>
          <w10:wrap type="none"/>
        </v:shape>
      </w:pict>
    </w:r>
    <w:r>
      <w:rPr/>
      <w:pict>
        <v:shape style="position:absolute;margin-left:385.045868pt;margin-top:34.876060pt;width:144.1pt;height:11.75pt;mso-position-horizontal-relative:page;mso-position-vertical-relative:page;z-index:-19202048" type="#_x0000_t202" filled="false" stroked="false">
          <v:textbox inset="0,0,0,0">
            <w:txbxContent>
              <w:p>
                <w:pPr>
                  <w:spacing w:before="21"/>
                  <w:ind w:left="20" w:right="0" w:firstLine="0"/>
                  <w:jc w:val="left"/>
                  <w:rPr>
                    <w:b/>
                    <w:sz w:val="16"/>
                  </w:rPr>
                </w:pPr>
                <w:r>
                  <w:rPr>
                    <w:b/>
                    <w:sz w:val="16"/>
                  </w:rPr>
                  <w:t>COMISIÓN NACIONAL DE ENERGÍA</w:t>
                </w:r>
              </w:p>
            </w:txbxContent>
          </v:textbox>
          <w10:wrap type="none"/>
        </v:shape>
      </w:pict>
    </w:r>
    <w:r>
      <w:rPr/>
      <w:pict>
        <v:shape style="position:absolute;margin-left:342.561188pt;margin-top:56.476051pt;width:106.9pt;height:11.75pt;mso-position-horizontal-relative:page;mso-position-vertical-relative:page;z-index:-19201536" type="#_x0000_t202" filled="false" stroked="false">
          <v:textbox inset="0,0,0,0">
            <w:txbxContent>
              <w:p>
                <w:pPr>
                  <w:spacing w:before="21"/>
                  <w:ind w:left="20" w:right="0" w:firstLine="0"/>
                  <w:jc w:val="left"/>
                  <w:rPr>
                    <w:b/>
                    <w:sz w:val="16"/>
                  </w:rPr>
                </w:pPr>
                <w:r>
                  <w:rPr>
                    <w:b/>
                    <w:sz w:val="16"/>
                  </w:rPr>
                  <w:t>REPÚBLICA DOMINICANA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68.280014pt;width:470.879989pt;height:.48pt;mso-position-horizontal-relative:page;mso-position-vertical-relative:page;z-index:-19199488" filled="true" fillcolor="#000000" stroked="false">
          <v:fill type="solid"/>
          <w10:wrap type="none"/>
        </v:rect>
      </w:pict>
    </w:r>
    <w:r>
      <w:rPr/>
      <w:pict>
        <v:shape style="position:absolute;margin-left:70.999969pt;margin-top:34.876377pt;width:164.5pt;height:11.75pt;mso-position-horizontal-relative:page;mso-position-vertical-relative:page;z-index:-19198976" type="#_x0000_t202" filled="false" stroked="false">
          <v:textbox inset="0,0,0,0">
            <w:txbxContent>
              <w:p>
                <w:pPr>
                  <w:spacing w:before="21"/>
                  <w:ind w:left="20" w:right="0" w:firstLine="0"/>
                  <w:jc w:val="left"/>
                  <w:rPr>
                    <w:b/>
                    <w:sz w:val="16"/>
                  </w:rPr>
                </w:pPr>
                <w:r>
                  <w:rPr>
                    <w:b/>
                    <w:sz w:val="16"/>
                  </w:rPr>
                  <w:t>Plan Energético Nacional (PEN) 2010-25</w:t>
                </w:r>
              </w:p>
            </w:txbxContent>
          </v:textbox>
          <w10:wrap type="none"/>
        </v:shape>
      </w:pict>
    </w:r>
    <w:r>
      <w:rPr/>
      <w:pict>
        <v:shape style="position:absolute;margin-left:385.04425pt;margin-top:34.876377pt;width:144.050pt;height:11.75pt;mso-position-horizontal-relative:page;mso-position-vertical-relative:page;z-index:-19198464" type="#_x0000_t202" filled="false" stroked="false">
          <v:textbox inset="0,0,0,0">
            <w:txbxContent>
              <w:p>
                <w:pPr>
                  <w:spacing w:before="21"/>
                  <w:ind w:left="20" w:right="0" w:firstLine="0"/>
                  <w:jc w:val="left"/>
                  <w:rPr>
                    <w:b/>
                    <w:sz w:val="16"/>
                  </w:rPr>
                </w:pPr>
                <w:r>
                  <w:rPr>
                    <w:b/>
                    <w:sz w:val="16"/>
                  </w:rPr>
                  <w:t>COMISIÓN NACIONAL DE ENERGÍA</w:t>
                </w:r>
              </w:p>
            </w:txbxContent>
          </v:textbox>
          <w10:wrap type="none"/>
        </v:shape>
      </w:pict>
    </w:r>
    <w:r>
      <w:rPr/>
      <w:pict>
        <v:shape style="position:absolute;margin-left:252.559616pt;margin-top:56.476368pt;width:106.85pt;height:11.75pt;mso-position-horizontal-relative:page;mso-position-vertical-relative:page;z-index:-19197952" type="#_x0000_t202" filled="false" stroked="false">
          <v:textbox inset="0,0,0,0">
            <w:txbxContent>
              <w:p>
                <w:pPr>
                  <w:spacing w:before="20"/>
                  <w:ind w:left="20" w:right="0" w:firstLine="0"/>
                  <w:jc w:val="left"/>
                  <w:rPr>
                    <w:b/>
                    <w:sz w:val="16"/>
                  </w:rPr>
                </w:pPr>
                <w:r>
                  <w:rPr>
                    <w:b/>
                    <w:sz w:val="16"/>
                  </w:rPr>
                  <w:t>REPÚBLICA DOMINICANA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9969pt;margin-top:34.876377pt;width:164.5pt;height:11.75pt;mso-position-horizontal-relative:page;mso-position-vertical-relative:page;z-index:-19195904" type="#_x0000_t202" filled="false" stroked="false">
          <v:textbox inset="0,0,0,0">
            <w:txbxContent>
              <w:p>
                <w:pPr>
                  <w:spacing w:before="21"/>
                  <w:ind w:left="20" w:right="0" w:firstLine="0"/>
                  <w:jc w:val="left"/>
                  <w:rPr>
                    <w:b/>
                    <w:sz w:val="16"/>
                  </w:rPr>
                </w:pPr>
                <w:r>
                  <w:rPr>
                    <w:b/>
                    <w:sz w:val="16"/>
                  </w:rPr>
                  <w:t>Plan Energético Nacional (PEN) 2010-25</w:t>
                </w:r>
              </w:p>
            </w:txbxContent>
          </v:textbox>
          <w10:wrap type="none"/>
        </v:shape>
      </w:pict>
    </w:r>
    <w:r>
      <w:rPr/>
      <w:pict>
        <v:shape style="position:absolute;margin-left:385.04425pt;margin-top:34.876377pt;width:144.050pt;height:11.75pt;mso-position-horizontal-relative:page;mso-position-vertical-relative:page;z-index:-19195392" type="#_x0000_t202" filled="false" stroked="false">
          <v:textbox inset="0,0,0,0">
            <w:txbxContent>
              <w:p>
                <w:pPr>
                  <w:spacing w:before="21"/>
                  <w:ind w:left="20" w:right="0" w:firstLine="0"/>
                  <w:jc w:val="left"/>
                  <w:rPr>
                    <w:b/>
                    <w:sz w:val="16"/>
                  </w:rPr>
                </w:pPr>
                <w:r>
                  <w:rPr>
                    <w:b/>
                    <w:sz w:val="16"/>
                  </w:rPr>
                  <w:t>COMISIÓN NACIONAL DE ENERGÍA</w:t>
                </w:r>
              </w:p>
            </w:txbxContent>
          </v:textbox>
          <w10:wrap type="none"/>
        </v:shape>
      </w:pict>
    </w:r>
    <w:r>
      <w:rPr/>
      <w:pict>
        <v:shape style="position:absolute;margin-left:252.559616pt;margin-top:56.476368pt;width:106.85pt;height:11.75pt;mso-position-horizontal-relative:page;mso-position-vertical-relative:page;z-index:-19194880" type="#_x0000_t202" filled="false" stroked="false">
          <v:textbox inset="0,0,0,0">
            <w:txbxContent>
              <w:p>
                <w:pPr>
                  <w:spacing w:before="20"/>
                  <w:ind w:left="20" w:right="0" w:firstLine="0"/>
                  <w:jc w:val="left"/>
                  <w:rPr>
                    <w:b/>
                    <w:sz w:val="16"/>
                  </w:rPr>
                </w:pPr>
                <w:r>
                  <w:rPr>
                    <w:b/>
                    <w:sz w:val="16"/>
                  </w:rPr>
                  <w:t>REPÚBLICA DOMINICANA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68.280014pt;width:470.879989pt;height:.48pt;mso-position-horizontal-relative:page;mso-position-vertical-relative:page;z-index:-19192832" filled="true" fillcolor="#000000" stroked="false">
          <v:fill type="solid"/>
          <w10:wrap type="none"/>
        </v:rect>
      </w:pict>
    </w:r>
    <w:r>
      <w:rPr/>
      <w:pict>
        <v:shape style="position:absolute;margin-left:70.999969pt;margin-top:34.876377pt;width:164.5pt;height:11.75pt;mso-position-horizontal-relative:page;mso-position-vertical-relative:page;z-index:-19192320" type="#_x0000_t202" filled="false" stroked="false">
          <v:textbox inset="0,0,0,0">
            <w:txbxContent>
              <w:p>
                <w:pPr>
                  <w:spacing w:before="21"/>
                  <w:ind w:left="20" w:right="0" w:firstLine="0"/>
                  <w:jc w:val="left"/>
                  <w:rPr>
                    <w:b/>
                    <w:sz w:val="16"/>
                  </w:rPr>
                </w:pPr>
                <w:r>
                  <w:rPr>
                    <w:b/>
                    <w:sz w:val="16"/>
                  </w:rPr>
                  <w:t>Plan Energético Nacional (PEN) 2010-25</w:t>
                </w:r>
              </w:p>
            </w:txbxContent>
          </v:textbox>
          <w10:wrap type="none"/>
        </v:shape>
      </w:pict>
    </w:r>
    <w:r>
      <w:rPr/>
      <w:pict>
        <v:shape style="position:absolute;margin-left:385.04425pt;margin-top:34.876377pt;width:144.050pt;height:11.75pt;mso-position-horizontal-relative:page;mso-position-vertical-relative:page;z-index:-19191808" type="#_x0000_t202" filled="false" stroked="false">
          <v:textbox inset="0,0,0,0">
            <w:txbxContent>
              <w:p>
                <w:pPr>
                  <w:spacing w:before="21"/>
                  <w:ind w:left="20" w:right="0" w:firstLine="0"/>
                  <w:jc w:val="left"/>
                  <w:rPr>
                    <w:b/>
                    <w:sz w:val="16"/>
                  </w:rPr>
                </w:pPr>
                <w:r>
                  <w:rPr>
                    <w:b/>
                    <w:sz w:val="16"/>
                  </w:rPr>
                  <w:t>COMISIÓN NACIONAL DE ENERGÍA</w:t>
                </w:r>
              </w:p>
            </w:txbxContent>
          </v:textbox>
          <w10:wrap type="none"/>
        </v:shape>
      </w:pict>
    </w:r>
    <w:r>
      <w:rPr/>
      <w:pict>
        <v:shape style="position:absolute;margin-left:252.559616pt;margin-top:56.476368pt;width:106.85pt;height:11.75pt;mso-position-horizontal-relative:page;mso-position-vertical-relative:page;z-index:-19191296" type="#_x0000_t202" filled="false" stroked="false">
          <v:textbox inset="0,0,0,0">
            <w:txbxContent>
              <w:p>
                <w:pPr>
                  <w:spacing w:before="20"/>
                  <w:ind w:left="20" w:right="0" w:firstLine="0"/>
                  <w:jc w:val="left"/>
                  <w:rPr>
                    <w:b/>
                    <w:sz w:val="16"/>
                  </w:rPr>
                </w:pPr>
                <w:r>
                  <w:rPr>
                    <w:b/>
                    <w:sz w:val="16"/>
                  </w:rPr>
                  <w:t>REPÚBLICA DOMINICANA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
    <w:multiLevelType w:val="hybridMultilevel"/>
    <w:lvl w:ilvl="0">
      <w:start w:val="0"/>
      <w:numFmt w:val="bullet"/>
      <w:lvlText w:val="•"/>
      <w:lvlJc w:val="left"/>
      <w:pPr>
        <w:ind w:left="960" w:hanging="360"/>
      </w:pPr>
      <w:rPr>
        <w:rFonts w:hint="default" w:ascii="Verdana" w:hAnsi="Verdana" w:eastAsia="Verdana" w:cs="Verdana"/>
        <w:w w:val="99"/>
        <w:sz w:val="20"/>
        <w:szCs w:val="20"/>
        <w:lang w:val="es-ES" w:eastAsia="en-US" w:bidi="ar-SA"/>
      </w:rPr>
    </w:lvl>
    <w:lvl w:ilvl="1">
      <w:start w:val="0"/>
      <w:numFmt w:val="bullet"/>
      <w:lvlText w:val="•"/>
      <w:lvlJc w:val="left"/>
      <w:pPr>
        <w:ind w:left="1930" w:hanging="360"/>
      </w:pPr>
      <w:rPr>
        <w:rFonts w:hint="default"/>
        <w:lang w:val="es-ES" w:eastAsia="en-US" w:bidi="ar-SA"/>
      </w:rPr>
    </w:lvl>
    <w:lvl w:ilvl="2">
      <w:start w:val="0"/>
      <w:numFmt w:val="bullet"/>
      <w:lvlText w:val="•"/>
      <w:lvlJc w:val="left"/>
      <w:pPr>
        <w:ind w:left="2900" w:hanging="360"/>
      </w:pPr>
      <w:rPr>
        <w:rFonts w:hint="default"/>
        <w:lang w:val="es-ES" w:eastAsia="en-US" w:bidi="ar-SA"/>
      </w:rPr>
    </w:lvl>
    <w:lvl w:ilvl="3">
      <w:start w:val="0"/>
      <w:numFmt w:val="bullet"/>
      <w:lvlText w:val="•"/>
      <w:lvlJc w:val="left"/>
      <w:pPr>
        <w:ind w:left="3870" w:hanging="360"/>
      </w:pPr>
      <w:rPr>
        <w:rFonts w:hint="default"/>
        <w:lang w:val="es-ES" w:eastAsia="en-US" w:bidi="ar-SA"/>
      </w:rPr>
    </w:lvl>
    <w:lvl w:ilvl="4">
      <w:start w:val="0"/>
      <w:numFmt w:val="bullet"/>
      <w:lvlText w:val="•"/>
      <w:lvlJc w:val="left"/>
      <w:pPr>
        <w:ind w:left="4840" w:hanging="360"/>
      </w:pPr>
      <w:rPr>
        <w:rFonts w:hint="default"/>
        <w:lang w:val="es-ES" w:eastAsia="en-US" w:bidi="ar-SA"/>
      </w:rPr>
    </w:lvl>
    <w:lvl w:ilvl="5">
      <w:start w:val="0"/>
      <w:numFmt w:val="bullet"/>
      <w:lvlText w:val="•"/>
      <w:lvlJc w:val="left"/>
      <w:pPr>
        <w:ind w:left="5810" w:hanging="360"/>
      </w:pPr>
      <w:rPr>
        <w:rFonts w:hint="default"/>
        <w:lang w:val="es-ES" w:eastAsia="en-US" w:bidi="ar-SA"/>
      </w:rPr>
    </w:lvl>
    <w:lvl w:ilvl="6">
      <w:start w:val="0"/>
      <w:numFmt w:val="bullet"/>
      <w:lvlText w:val="•"/>
      <w:lvlJc w:val="left"/>
      <w:pPr>
        <w:ind w:left="6780" w:hanging="360"/>
      </w:pPr>
      <w:rPr>
        <w:rFonts w:hint="default"/>
        <w:lang w:val="es-ES" w:eastAsia="en-US" w:bidi="ar-SA"/>
      </w:rPr>
    </w:lvl>
    <w:lvl w:ilvl="7">
      <w:start w:val="0"/>
      <w:numFmt w:val="bullet"/>
      <w:lvlText w:val="•"/>
      <w:lvlJc w:val="left"/>
      <w:pPr>
        <w:ind w:left="7750" w:hanging="360"/>
      </w:pPr>
      <w:rPr>
        <w:rFonts w:hint="default"/>
        <w:lang w:val="es-ES" w:eastAsia="en-US" w:bidi="ar-SA"/>
      </w:rPr>
    </w:lvl>
    <w:lvl w:ilvl="8">
      <w:start w:val="0"/>
      <w:numFmt w:val="bullet"/>
      <w:lvlText w:val="•"/>
      <w:lvlJc w:val="left"/>
      <w:pPr>
        <w:ind w:left="8720" w:hanging="360"/>
      </w:pPr>
      <w:rPr>
        <w:rFonts w:hint="default"/>
        <w:lang w:val="es-ES" w:eastAsia="en-US" w:bidi="ar-SA"/>
      </w:rPr>
    </w:lvl>
  </w:abstractNum>
  <w:abstractNum w:abstractNumId="58">
    <w:multiLevelType w:val="hybridMultilevel"/>
    <w:lvl w:ilvl="0">
      <w:start w:val="0"/>
      <w:numFmt w:val="bullet"/>
      <w:lvlText w:val="•"/>
      <w:lvlJc w:val="left"/>
      <w:pPr>
        <w:ind w:left="960" w:hanging="360"/>
      </w:pPr>
      <w:rPr>
        <w:rFonts w:hint="default" w:ascii="Verdana" w:hAnsi="Verdana" w:eastAsia="Verdana" w:cs="Verdana"/>
        <w:w w:val="99"/>
        <w:sz w:val="20"/>
        <w:szCs w:val="20"/>
        <w:lang w:val="es-ES" w:eastAsia="en-US" w:bidi="ar-SA"/>
      </w:rPr>
    </w:lvl>
    <w:lvl w:ilvl="1">
      <w:start w:val="0"/>
      <w:numFmt w:val="bullet"/>
      <w:lvlText w:val="•"/>
      <w:lvlJc w:val="left"/>
      <w:pPr>
        <w:ind w:left="1930" w:hanging="360"/>
      </w:pPr>
      <w:rPr>
        <w:rFonts w:hint="default"/>
        <w:lang w:val="es-ES" w:eastAsia="en-US" w:bidi="ar-SA"/>
      </w:rPr>
    </w:lvl>
    <w:lvl w:ilvl="2">
      <w:start w:val="0"/>
      <w:numFmt w:val="bullet"/>
      <w:lvlText w:val="•"/>
      <w:lvlJc w:val="left"/>
      <w:pPr>
        <w:ind w:left="2900" w:hanging="360"/>
      </w:pPr>
      <w:rPr>
        <w:rFonts w:hint="default"/>
        <w:lang w:val="es-ES" w:eastAsia="en-US" w:bidi="ar-SA"/>
      </w:rPr>
    </w:lvl>
    <w:lvl w:ilvl="3">
      <w:start w:val="0"/>
      <w:numFmt w:val="bullet"/>
      <w:lvlText w:val="•"/>
      <w:lvlJc w:val="left"/>
      <w:pPr>
        <w:ind w:left="3870" w:hanging="360"/>
      </w:pPr>
      <w:rPr>
        <w:rFonts w:hint="default"/>
        <w:lang w:val="es-ES" w:eastAsia="en-US" w:bidi="ar-SA"/>
      </w:rPr>
    </w:lvl>
    <w:lvl w:ilvl="4">
      <w:start w:val="0"/>
      <w:numFmt w:val="bullet"/>
      <w:lvlText w:val="•"/>
      <w:lvlJc w:val="left"/>
      <w:pPr>
        <w:ind w:left="4840" w:hanging="360"/>
      </w:pPr>
      <w:rPr>
        <w:rFonts w:hint="default"/>
        <w:lang w:val="es-ES" w:eastAsia="en-US" w:bidi="ar-SA"/>
      </w:rPr>
    </w:lvl>
    <w:lvl w:ilvl="5">
      <w:start w:val="0"/>
      <w:numFmt w:val="bullet"/>
      <w:lvlText w:val="•"/>
      <w:lvlJc w:val="left"/>
      <w:pPr>
        <w:ind w:left="5810" w:hanging="360"/>
      </w:pPr>
      <w:rPr>
        <w:rFonts w:hint="default"/>
        <w:lang w:val="es-ES" w:eastAsia="en-US" w:bidi="ar-SA"/>
      </w:rPr>
    </w:lvl>
    <w:lvl w:ilvl="6">
      <w:start w:val="0"/>
      <w:numFmt w:val="bullet"/>
      <w:lvlText w:val="•"/>
      <w:lvlJc w:val="left"/>
      <w:pPr>
        <w:ind w:left="6780" w:hanging="360"/>
      </w:pPr>
      <w:rPr>
        <w:rFonts w:hint="default"/>
        <w:lang w:val="es-ES" w:eastAsia="en-US" w:bidi="ar-SA"/>
      </w:rPr>
    </w:lvl>
    <w:lvl w:ilvl="7">
      <w:start w:val="0"/>
      <w:numFmt w:val="bullet"/>
      <w:lvlText w:val="•"/>
      <w:lvlJc w:val="left"/>
      <w:pPr>
        <w:ind w:left="7750" w:hanging="360"/>
      </w:pPr>
      <w:rPr>
        <w:rFonts w:hint="default"/>
        <w:lang w:val="es-ES" w:eastAsia="en-US" w:bidi="ar-SA"/>
      </w:rPr>
    </w:lvl>
    <w:lvl w:ilvl="8">
      <w:start w:val="0"/>
      <w:numFmt w:val="bullet"/>
      <w:lvlText w:val="•"/>
      <w:lvlJc w:val="left"/>
      <w:pPr>
        <w:ind w:left="8720" w:hanging="360"/>
      </w:pPr>
      <w:rPr>
        <w:rFonts w:hint="default"/>
        <w:lang w:val="es-ES" w:eastAsia="en-US" w:bidi="ar-SA"/>
      </w:rPr>
    </w:lvl>
  </w:abstractNum>
  <w:abstractNum w:abstractNumId="82">
    <w:multiLevelType w:val="hybridMultilevel"/>
    <w:lvl w:ilvl="0">
      <w:start w:val="1"/>
      <w:numFmt w:val="decimal"/>
      <w:lvlText w:val="%1."/>
      <w:lvlJc w:val="left"/>
      <w:pPr>
        <w:ind w:left="667" w:hanging="428"/>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660" w:hanging="428"/>
      </w:pPr>
      <w:rPr>
        <w:rFonts w:hint="default"/>
        <w:lang w:val="es-ES" w:eastAsia="en-US" w:bidi="ar-SA"/>
      </w:rPr>
    </w:lvl>
    <w:lvl w:ilvl="2">
      <w:start w:val="0"/>
      <w:numFmt w:val="bullet"/>
      <w:lvlText w:val="•"/>
      <w:lvlJc w:val="left"/>
      <w:pPr>
        <w:ind w:left="2660" w:hanging="428"/>
      </w:pPr>
      <w:rPr>
        <w:rFonts w:hint="default"/>
        <w:lang w:val="es-ES" w:eastAsia="en-US" w:bidi="ar-SA"/>
      </w:rPr>
    </w:lvl>
    <w:lvl w:ilvl="3">
      <w:start w:val="0"/>
      <w:numFmt w:val="bullet"/>
      <w:lvlText w:val="•"/>
      <w:lvlJc w:val="left"/>
      <w:pPr>
        <w:ind w:left="3660" w:hanging="428"/>
      </w:pPr>
      <w:rPr>
        <w:rFonts w:hint="default"/>
        <w:lang w:val="es-ES" w:eastAsia="en-US" w:bidi="ar-SA"/>
      </w:rPr>
    </w:lvl>
    <w:lvl w:ilvl="4">
      <w:start w:val="0"/>
      <w:numFmt w:val="bullet"/>
      <w:lvlText w:val="•"/>
      <w:lvlJc w:val="left"/>
      <w:pPr>
        <w:ind w:left="4660" w:hanging="428"/>
      </w:pPr>
      <w:rPr>
        <w:rFonts w:hint="default"/>
        <w:lang w:val="es-ES" w:eastAsia="en-US" w:bidi="ar-SA"/>
      </w:rPr>
    </w:lvl>
    <w:lvl w:ilvl="5">
      <w:start w:val="0"/>
      <w:numFmt w:val="bullet"/>
      <w:lvlText w:val="•"/>
      <w:lvlJc w:val="left"/>
      <w:pPr>
        <w:ind w:left="5660" w:hanging="428"/>
      </w:pPr>
      <w:rPr>
        <w:rFonts w:hint="default"/>
        <w:lang w:val="es-ES" w:eastAsia="en-US" w:bidi="ar-SA"/>
      </w:rPr>
    </w:lvl>
    <w:lvl w:ilvl="6">
      <w:start w:val="0"/>
      <w:numFmt w:val="bullet"/>
      <w:lvlText w:val="•"/>
      <w:lvlJc w:val="left"/>
      <w:pPr>
        <w:ind w:left="6660" w:hanging="428"/>
      </w:pPr>
      <w:rPr>
        <w:rFonts w:hint="default"/>
        <w:lang w:val="es-ES" w:eastAsia="en-US" w:bidi="ar-SA"/>
      </w:rPr>
    </w:lvl>
    <w:lvl w:ilvl="7">
      <w:start w:val="0"/>
      <w:numFmt w:val="bullet"/>
      <w:lvlText w:val="•"/>
      <w:lvlJc w:val="left"/>
      <w:pPr>
        <w:ind w:left="7660" w:hanging="428"/>
      </w:pPr>
      <w:rPr>
        <w:rFonts w:hint="default"/>
        <w:lang w:val="es-ES" w:eastAsia="en-US" w:bidi="ar-SA"/>
      </w:rPr>
    </w:lvl>
    <w:lvl w:ilvl="8">
      <w:start w:val="0"/>
      <w:numFmt w:val="bullet"/>
      <w:lvlText w:val="•"/>
      <w:lvlJc w:val="left"/>
      <w:pPr>
        <w:ind w:left="8660" w:hanging="428"/>
      </w:pPr>
      <w:rPr>
        <w:rFonts w:hint="default"/>
        <w:lang w:val="es-ES" w:eastAsia="en-US" w:bidi="ar-SA"/>
      </w:rPr>
    </w:lvl>
  </w:abstractNum>
  <w:abstractNum w:abstractNumId="81">
    <w:multiLevelType w:val="hybridMultilevel"/>
    <w:lvl w:ilvl="0">
      <w:start w:val="1"/>
      <w:numFmt w:val="decimal"/>
      <w:lvlText w:val="%1."/>
      <w:lvlJc w:val="left"/>
      <w:pPr>
        <w:ind w:left="240" w:hanging="449"/>
        <w:jc w:val="left"/>
      </w:pPr>
      <w:rPr>
        <w:rFonts w:hint="default" w:ascii="Tahoma" w:hAnsi="Tahoma" w:eastAsia="Tahoma" w:cs="Tahoma"/>
        <w:b/>
        <w:bCs/>
        <w:w w:val="99"/>
        <w:sz w:val="23"/>
        <w:szCs w:val="23"/>
        <w:lang w:val="es-ES" w:eastAsia="en-US" w:bidi="ar-SA"/>
      </w:rPr>
    </w:lvl>
    <w:lvl w:ilvl="1">
      <w:start w:val="0"/>
      <w:numFmt w:val="bullet"/>
      <w:lvlText w:val=""/>
      <w:lvlJc w:val="left"/>
      <w:pPr>
        <w:ind w:left="960" w:hanging="360"/>
      </w:pPr>
      <w:rPr>
        <w:rFonts w:hint="default" w:ascii="Symbol" w:hAnsi="Symbol" w:eastAsia="Symbol" w:cs="Symbol"/>
        <w:w w:val="99"/>
        <w:sz w:val="23"/>
        <w:szCs w:val="23"/>
        <w:lang w:val="es-ES" w:eastAsia="en-US" w:bidi="ar-SA"/>
      </w:rPr>
    </w:lvl>
    <w:lvl w:ilvl="2">
      <w:start w:val="0"/>
      <w:numFmt w:val="bullet"/>
      <w:lvlText w:val="•"/>
      <w:lvlJc w:val="left"/>
      <w:pPr>
        <w:ind w:left="2037" w:hanging="360"/>
      </w:pPr>
      <w:rPr>
        <w:rFonts w:hint="default"/>
        <w:lang w:val="es-ES" w:eastAsia="en-US" w:bidi="ar-SA"/>
      </w:rPr>
    </w:lvl>
    <w:lvl w:ilvl="3">
      <w:start w:val="0"/>
      <w:numFmt w:val="bullet"/>
      <w:lvlText w:val="•"/>
      <w:lvlJc w:val="left"/>
      <w:pPr>
        <w:ind w:left="3115" w:hanging="360"/>
      </w:pPr>
      <w:rPr>
        <w:rFonts w:hint="default"/>
        <w:lang w:val="es-ES" w:eastAsia="en-US" w:bidi="ar-SA"/>
      </w:rPr>
    </w:lvl>
    <w:lvl w:ilvl="4">
      <w:start w:val="0"/>
      <w:numFmt w:val="bullet"/>
      <w:lvlText w:val="•"/>
      <w:lvlJc w:val="left"/>
      <w:pPr>
        <w:ind w:left="4193" w:hanging="360"/>
      </w:pPr>
      <w:rPr>
        <w:rFonts w:hint="default"/>
        <w:lang w:val="es-ES" w:eastAsia="en-US" w:bidi="ar-SA"/>
      </w:rPr>
    </w:lvl>
    <w:lvl w:ilvl="5">
      <w:start w:val="0"/>
      <w:numFmt w:val="bullet"/>
      <w:lvlText w:val="•"/>
      <w:lvlJc w:val="left"/>
      <w:pPr>
        <w:ind w:left="5271" w:hanging="360"/>
      </w:pPr>
      <w:rPr>
        <w:rFonts w:hint="default"/>
        <w:lang w:val="es-ES" w:eastAsia="en-US" w:bidi="ar-SA"/>
      </w:rPr>
    </w:lvl>
    <w:lvl w:ilvl="6">
      <w:start w:val="0"/>
      <w:numFmt w:val="bullet"/>
      <w:lvlText w:val="•"/>
      <w:lvlJc w:val="left"/>
      <w:pPr>
        <w:ind w:left="6348" w:hanging="360"/>
      </w:pPr>
      <w:rPr>
        <w:rFonts w:hint="default"/>
        <w:lang w:val="es-ES" w:eastAsia="en-US" w:bidi="ar-SA"/>
      </w:rPr>
    </w:lvl>
    <w:lvl w:ilvl="7">
      <w:start w:val="0"/>
      <w:numFmt w:val="bullet"/>
      <w:lvlText w:val="•"/>
      <w:lvlJc w:val="left"/>
      <w:pPr>
        <w:ind w:left="7426" w:hanging="360"/>
      </w:pPr>
      <w:rPr>
        <w:rFonts w:hint="default"/>
        <w:lang w:val="es-ES" w:eastAsia="en-US" w:bidi="ar-SA"/>
      </w:rPr>
    </w:lvl>
    <w:lvl w:ilvl="8">
      <w:start w:val="0"/>
      <w:numFmt w:val="bullet"/>
      <w:lvlText w:val="•"/>
      <w:lvlJc w:val="left"/>
      <w:pPr>
        <w:ind w:left="8504" w:hanging="360"/>
      </w:pPr>
      <w:rPr>
        <w:rFonts w:hint="default"/>
        <w:lang w:val="es-ES" w:eastAsia="en-US" w:bidi="ar-SA"/>
      </w:rPr>
    </w:lvl>
  </w:abstractNum>
  <w:abstractNum w:abstractNumId="80">
    <w:multiLevelType w:val="hybridMultilevel"/>
    <w:lvl w:ilvl="0">
      <w:start w:val="5"/>
      <w:numFmt w:val="decimal"/>
      <w:lvlText w:val="%1"/>
      <w:lvlJc w:val="left"/>
      <w:pPr>
        <w:ind w:left="1212" w:hanging="973"/>
        <w:jc w:val="left"/>
      </w:pPr>
      <w:rPr>
        <w:rFonts w:hint="default"/>
        <w:lang w:val="es-ES" w:eastAsia="en-US" w:bidi="ar-SA"/>
      </w:rPr>
    </w:lvl>
    <w:lvl w:ilvl="1">
      <w:start w:val="4"/>
      <w:numFmt w:val="decimal"/>
      <w:lvlText w:val="%1.%2"/>
      <w:lvlJc w:val="left"/>
      <w:pPr>
        <w:ind w:left="1212" w:hanging="973"/>
        <w:jc w:val="left"/>
      </w:pPr>
      <w:rPr>
        <w:rFonts w:hint="default"/>
        <w:lang w:val="es-ES" w:eastAsia="en-US" w:bidi="ar-SA"/>
      </w:rPr>
    </w:lvl>
    <w:lvl w:ilvl="2">
      <w:start w:val="1"/>
      <w:numFmt w:val="decimal"/>
      <w:lvlText w:val="%1.%2.%3"/>
      <w:lvlJc w:val="left"/>
      <w:pPr>
        <w:ind w:left="1212" w:hanging="973"/>
        <w:jc w:val="left"/>
      </w:pPr>
      <w:rPr>
        <w:rFonts w:hint="default"/>
        <w:b/>
        <w:bCs/>
        <w:w w:val="99"/>
        <w:lang w:val="es-ES" w:eastAsia="en-US" w:bidi="ar-SA"/>
      </w:rPr>
    </w:lvl>
    <w:lvl w:ilvl="3">
      <w:start w:val="0"/>
      <w:numFmt w:val="bullet"/>
      <w:lvlText w:val=""/>
      <w:lvlJc w:val="left"/>
      <w:pPr>
        <w:ind w:left="959" w:hanging="360"/>
      </w:pPr>
      <w:rPr>
        <w:rFonts w:hint="default" w:ascii="Symbol" w:hAnsi="Symbol" w:eastAsia="Symbol" w:cs="Symbol"/>
        <w:w w:val="99"/>
        <w:sz w:val="23"/>
        <w:szCs w:val="23"/>
        <w:lang w:val="es-ES" w:eastAsia="en-US" w:bidi="ar-SA"/>
      </w:rPr>
    </w:lvl>
    <w:lvl w:ilvl="4">
      <w:start w:val="0"/>
      <w:numFmt w:val="bullet"/>
      <w:lvlText w:val="o"/>
      <w:lvlJc w:val="left"/>
      <w:pPr>
        <w:ind w:left="1679" w:hanging="360"/>
      </w:pPr>
      <w:rPr>
        <w:rFonts w:hint="default" w:ascii="Courier New" w:hAnsi="Courier New" w:eastAsia="Courier New" w:cs="Courier New"/>
        <w:w w:val="99"/>
        <w:sz w:val="23"/>
        <w:szCs w:val="23"/>
        <w:lang w:val="es-ES" w:eastAsia="en-US" w:bidi="ar-SA"/>
      </w:rPr>
    </w:lvl>
    <w:lvl w:ilvl="5">
      <w:start w:val="0"/>
      <w:numFmt w:val="bullet"/>
      <w:lvlText w:val="•"/>
      <w:lvlJc w:val="left"/>
      <w:pPr>
        <w:ind w:left="5047" w:hanging="360"/>
      </w:pPr>
      <w:rPr>
        <w:rFonts w:hint="default"/>
        <w:lang w:val="es-ES" w:eastAsia="en-US" w:bidi="ar-SA"/>
      </w:rPr>
    </w:lvl>
    <w:lvl w:ilvl="6">
      <w:start w:val="0"/>
      <w:numFmt w:val="bullet"/>
      <w:lvlText w:val="•"/>
      <w:lvlJc w:val="left"/>
      <w:pPr>
        <w:ind w:left="6170" w:hanging="360"/>
      </w:pPr>
      <w:rPr>
        <w:rFonts w:hint="default"/>
        <w:lang w:val="es-ES" w:eastAsia="en-US" w:bidi="ar-SA"/>
      </w:rPr>
    </w:lvl>
    <w:lvl w:ilvl="7">
      <w:start w:val="0"/>
      <w:numFmt w:val="bullet"/>
      <w:lvlText w:val="•"/>
      <w:lvlJc w:val="left"/>
      <w:pPr>
        <w:ind w:left="7292" w:hanging="360"/>
      </w:pPr>
      <w:rPr>
        <w:rFonts w:hint="default"/>
        <w:lang w:val="es-ES" w:eastAsia="en-US" w:bidi="ar-SA"/>
      </w:rPr>
    </w:lvl>
    <w:lvl w:ilvl="8">
      <w:start w:val="0"/>
      <w:numFmt w:val="bullet"/>
      <w:lvlText w:val="•"/>
      <w:lvlJc w:val="left"/>
      <w:pPr>
        <w:ind w:left="8415" w:hanging="360"/>
      </w:pPr>
      <w:rPr>
        <w:rFonts w:hint="default"/>
        <w:lang w:val="es-ES" w:eastAsia="en-US" w:bidi="ar-SA"/>
      </w:rPr>
    </w:lvl>
  </w:abstractNum>
  <w:abstractNum w:abstractNumId="79">
    <w:multiLevelType w:val="hybridMultilevel"/>
    <w:lvl w:ilvl="0">
      <w:start w:val="0"/>
      <w:numFmt w:val="bullet"/>
      <w:lvlText w:val=""/>
      <w:lvlJc w:val="left"/>
      <w:pPr>
        <w:ind w:left="565"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9"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8"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7" w:hanging="454"/>
      </w:pPr>
      <w:rPr>
        <w:rFonts w:hint="default"/>
        <w:lang w:val="es-ES" w:eastAsia="en-US" w:bidi="ar-SA"/>
      </w:rPr>
    </w:lvl>
    <w:lvl w:ilvl="7">
      <w:start w:val="0"/>
      <w:numFmt w:val="bullet"/>
      <w:lvlText w:val="•"/>
      <w:lvlJc w:val="left"/>
      <w:pPr>
        <w:ind w:left="2271" w:hanging="454"/>
      </w:pPr>
      <w:rPr>
        <w:rFonts w:hint="default"/>
        <w:lang w:val="es-ES" w:eastAsia="en-US" w:bidi="ar-SA"/>
      </w:rPr>
    </w:lvl>
    <w:lvl w:ilvl="8">
      <w:start w:val="0"/>
      <w:numFmt w:val="bullet"/>
      <w:lvlText w:val="•"/>
      <w:lvlJc w:val="left"/>
      <w:pPr>
        <w:ind w:left="2516" w:hanging="454"/>
      </w:pPr>
      <w:rPr>
        <w:rFonts w:hint="default"/>
        <w:lang w:val="es-ES" w:eastAsia="en-US" w:bidi="ar-SA"/>
      </w:rPr>
    </w:lvl>
  </w:abstractNum>
  <w:abstractNum w:abstractNumId="78">
    <w:multiLevelType w:val="hybridMultilevel"/>
    <w:lvl w:ilvl="0">
      <w:start w:val="0"/>
      <w:numFmt w:val="bullet"/>
      <w:lvlText w:val=""/>
      <w:lvlJc w:val="left"/>
      <w:pPr>
        <w:ind w:left="472" w:hanging="360"/>
      </w:pPr>
      <w:rPr>
        <w:rFonts w:hint="default" w:ascii="Symbol" w:hAnsi="Symbol" w:eastAsia="Symbol" w:cs="Symbol"/>
        <w:w w:val="99"/>
        <w:sz w:val="18"/>
        <w:szCs w:val="18"/>
        <w:lang w:val="es-ES" w:eastAsia="en-US" w:bidi="ar-SA"/>
      </w:rPr>
    </w:lvl>
    <w:lvl w:ilvl="1">
      <w:start w:val="0"/>
      <w:numFmt w:val="bullet"/>
      <w:lvlText w:val="o"/>
      <w:lvlJc w:val="left"/>
      <w:pPr>
        <w:ind w:left="1192" w:hanging="360"/>
      </w:pPr>
      <w:rPr>
        <w:rFonts w:hint="default" w:ascii="Courier New" w:hAnsi="Courier New" w:eastAsia="Courier New" w:cs="Courier New"/>
        <w:w w:val="99"/>
        <w:sz w:val="18"/>
        <w:szCs w:val="18"/>
        <w:lang w:val="es-ES" w:eastAsia="en-US" w:bidi="ar-SA"/>
      </w:rPr>
    </w:lvl>
    <w:lvl w:ilvl="2">
      <w:start w:val="0"/>
      <w:numFmt w:val="bullet"/>
      <w:lvlText w:val="•"/>
      <w:lvlJc w:val="left"/>
      <w:pPr>
        <w:ind w:left="1400" w:hanging="360"/>
      </w:pPr>
      <w:rPr>
        <w:rFonts w:hint="default"/>
        <w:lang w:val="es-ES" w:eastAsia="en-US" w:bidi="ar-SA"/>
      </w:rPr>
    </w:lvl>
    <w:lvl w:ilvl="3">
      <w:start w:val="0"/>
      <w:numFmt w:val="bullet"/>
      <w:lvlText w:val="•"/>
      <w:lvlJc w:val="left"/>
      <w:pPr>
        <w:ind w:left="1601" w:hanging="360"/>
      </w:pPr>
      <w:rPr>
        <w:rFonts w:hint="default"/>
        <w:lang w:val="es-ES" w:eastAsia="en-US" w:bidi="ar-SA"/>
      </w:rPr>
    </w:lvl>
    <w:lvl w:ilvl="4">
      <w:start w:val="0"/>
      <w:numFmt w:val="bullet"/>
      <w:lvlText w:val="•"/>
      <w:lvlJc w:val="left"/>
      <w:pPr>
        <w:ind w:left="1802" w:hanging="360"/>
      </w:pPr>
      <w:rPr>
        <w:rFonts w:hint="default"/>
        <w:lang w:val="es-ES" w:eastAsia="en-US" w:bidi="ar-SA"/>
      </w:rPr>
    </w:lvl>
    <w:lvl w:ilvl="5">
      <w:start w:val="0"/>
      <w:numFmt w:val="bullet"/>
      <w:lvlText w:val="•"/>
      <w:lvlJc w:val="left"/>
      <w:pPr>
        <w:ind w:left="2003" w:hanging="360"/>
      </w:pPr>
      <w:rPr>
        <w:rFonts w:hint="default"/>
        <w:lang w:val="es-ES" w:eastAsia="en-US" w:bidi="ar-SA"/>
      </w:rPr>
    </w:lvl>
    <w:lvl w:ilvl="6">
      <w:start w:val="0"/>
      <w:numFmt w:val="bullet"/>
      <w:lvlText w:val="•"/>
      <w:lvlJc w:val="left"/>
      <w:pPr>
        <w:ind w:left="2203" w:hanging="360"/>
      </w:pPr>
      <w:rPr>
        <w:rFonts w:hint="default"/>
        <w:lang w:val="es-ES" w:eastAsia="en-US" w:bidi="ar-SA"/>
      </w:rPr>
    </w:lvl>
    <w:lvl w:ilvl="7">
      <w:start w:val="0"/>
      <w:numFmt w:val="bullet"/>
      <w:lvlText w:val="•"/>
      <w:lvlJc w:val="left"/>
      <w:pPr>
        <w:ind w:left="2404" w:hanging="360"/>
      </w:pPr>
      <w:rPr>
        <w:rFonts w:hint="default"/>
        <w:lang w:val="es-ES" w:eastAsia="en-US" w:bidi="ar-SA"/>
      </w:rPr>
    </w:lvl>
    <w:lvl w:ilvl="8">
      <w:start w:val="0"/>
      <w:numFmt w:val="bullet"/>
      <w:lvlText w:val="•"/>
      <w:lvlJc w:val="left"/>
      <w:pPr>
        <w:ind w:left="2605" w:hanging="360"/>
      </w:pPr>
      <w:rPr>
        <w:rFonts w:hint="default"/>
        <w:lang w:val="es-ES" w:eastAsia="en-US" w:bidi="ar-SA"/>
      </w:rPr>
    </w:lvl>
  </w:abstractNum>
  <w:abstractNum w:abstractNumId="77">
    <w:multiLevelType w:val="hybridMultilevel"/>
    <w:lvl w:ilvl="0">
      <w:start w:val="0"/>
      <w:numFmt w:val="bullet"/>
      <w:lvlText w:val=""/>
      <w:lvlJc w:val="left"/>
      <w:pPr>
        <w:ind w:left="564"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9"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8"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7" w:hanging="454"/>
      </w:pPr>
      <w:rPr>
        <w:rFonts w:hint="default"/>
        <w:lang w:val="es-ES" w:eastAsia="en-US" w:bidi="ar-SA"/>
      </w:rPr>
    </w:lvl>
    <w:lvl w:ilvl="7">
      <w:start w:val="0"/>
      <w:numFmt w:val="bullet"/>
      <w:lvlText w:val="•"/>
      <w:lvlJc w:val="left"/>
      <w:pPr>
        <w:ind w:left="2271" w:hanging="454"/>
      </w:pPr>
      <w:rPr>
        <w:rFonts w:hint="default"/>
        <w:lang w:val="es-ES" w:eastAsia="en-US" w:bidi="ar-SA"/>
      </w:rPr>
    </w:lvl>
    <w:lvl w:ilvl="8">
      <w:start w:val="0"/>
      <w:numFmt w:val="bullet"/>
      <w:lvlText w:val="•"/>
      <w:lvlJc w:val="left"/>
      <w:pPr>
        <w:ind w:left="2516" w:hanging="454"/>
      </w:pPr>
      <w:rPr>
        <w:rFonts w:hint="default"/>
        <w:lang w:val="es-ES" w:eastAsia="en-US" w:bidi="ar-SA"/>
      </w:rPr>
    </w:lvl>
  </w:abstractNum>
  <w:abstractNum w:abstractNumId="76">
    <w:multiLevelType w:val="hybridMultilevel"/>
    <w:lvl w:ilvl="0">
      <w:start w:val="0"/>
      <w:numFmt w:val="bullet"/>
      <w:lvlText w:val=""/>
      <w:lvlJc w:val="left"/>
      <w:pPr>
        <w:ind w:left="568"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8"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7"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6" w:hanging="454"/>
      </w:pPr>
      <w:rPr>
        <w:rFonts w:hint="default"/>
        <w:lang w:val="es-ES" w:eastAsia="en-US" w:bidi="ar-SA"/>
      </w:rPr>
    </w:lvl>
    <w:lvl w:ilvl="7">
      <w:start w:val="0"/>
      <w:numFmt w:val="bullet"/>
      <w:lvlText w:val="•"/>
      <w:lvlJc w:val="left"/>
      <w:pPr>
        <w:ind w:left="2270" w:hanging="454"/>
      </w:pPr>
      <w:rPr>
        <w:rFonts w:hint="default"/>
        <w:lang w:val="es-ES" w:eastAsia="en-US" w:bidi="ar-SA"/>
      </w:rPr>
    </w:lvl>
    <w:lvl w:ilvl="8">
      <w:start w:val="0"/>
      <w:numFmt w:val="bullet"/>
      <w:lvlText w:val="•"/>
      <w:lvlJc w:val="left"/>
      <w:pPr>
        <w:ind w:left="2515" w:hanging="454"/>
      </w:pPr>
      <w:rPr>
        <w:rFonts w:hint="default"/>
        <w:lang w:val="es-ES" w:eastAsia="en-US" w:bidi="ar-SA"/>
      </w:rPr>
    </w:lvl>
  </w:abstractNum>
  <w:abstractNum w:abstractNumId="75">
    <w:multiLevelType w:val="hybridMultilevel"/>
    <w:lvl w:ilvl="0">
      <w:start w:val="0"/>
      <w:numFmt w:val="bullet"/>
      <w:lvlText w:val=""/>
      <w:lvlJc w:val="left"/>
      <w:pPr>
        <w:ind w:left="474" w:hanging="360"/>
      </w:pPr>
      <w:rPr>
        <w:rFonts w:hint="default" w:ascii="Symbol" w:hAnsi="Symbol" w:eastAsia="Symbol" w:cs="Symbol"/>
        <w:w w:val="99"/>
        <w:sz w:val="18"/>
        <w:szCs w:val="18"/>
        <w:lang w:val="es-ES" w:eastAsia="en-US" w:bidi="ar-SA"/>
      </w:rPr>
    </w:lvl>
    <w:lvl w:ilvl="1">
      <w:start w:val="0"/>
      <w:numFmt w:val="bullet"/>
      <w:lvlText w:val="o"/>
      <w:lvlJc w:val="left"/>
      <w:pPr>
        <w:ind w:left="1194" w:hanging="360"/>
      </w:pPr>
      <w:rPr>
        <w:rFonts w:hint="default" w:ascii="Courier New" w:hAnsi="Courier New" w:eastAsia="Courier New" w:cs="Courier New"/>
        <w:w w:val="99"/>
        <w:sz w:val="18"/>
        <w:szCs w:val="18"/>
        <w:lang w:val="es-ES" w:eastAsia="en-US" w:bidi="ar-SA"/>
      </w:rPr>
    </w:lvl>
    <w:lvl w:ilvl="2">
      <w:start w:val="0"/>
      <w:numFmt w:val="bullet"/>
      <w:lvlText w:val="•"/>
      <w:lvlJc w:val="left"/>
      <w:pPr>
        <w:ind w:left="1400" w:hanging="360"/>
      </w:pPr>
      <w:rPr>
        <w:rFonts w:hint="default"/>
        <w:lang w:val="es-ES" w:eastAsia="en-US" w:bidi="ar-SA"/>
      </w:rPr>
    </w:lvl>
    <w:lvl w:ilvl="3">
      <w:start w:val="0"/>
      <w:numFmt w:val="bullet"/>
      <w:lvlText w:val="•"/>
      <w:lvlJc w:val="left"/>
      <w:pPr>
        <w:ind w:left="1601" w:hanging="360"/>
      </w:pPr>
      <w:rPr>
        <w:rFonts w:hint="default"/>
        <w:lang w:val="es-ES" w:eastAsia="en-US" w:bidi="ar-SA"/>
      </w:rPr>
    </w:lvl>
    <w:lvl w:ilvl="4">
      <w:start w:val="0"/>
      <w:numFmt w:val="bullet"/>
      <w:lvlText w:val="•"/>
      <w:lvlJc w:val="left"/>
      <w:pPr>
        <w:ind w:left="1802" w:hanging="360"/>
      </w:pPr>
      <w:rPr>
        <w:rFonts w:hint="default"/>
        <w:lang w:val="es-ES" w:eastAsia="en-US" w:bidi="ar-SA"/>
      </w:rPr>
    </w:lvl>
    <w:lvl w:ilvl="5">
      <w:start w:val="0"/>
      <w:numFmt w:val="bullet"/>
      <w:lvlText w:val="•"/>
      <w:lvlJc w:val="left"/>
      <w:pPr>
        <w:ind w:left="2002" w:hanging="360"/>
      </w:pPr>
      <w:rPr>
        <w:rFonts w:hint="default"/>
        <w:lang w:val="es-ES" w:eastAsia="en-US" w:bidi="ar-SA"/>
      </w:rPr>
    </w:lvl>
    <w:lvl w:ilvl="6">
      <w:start w:val="0"/>
      <w:numFmt w:val="bullet"/>
      <w:lvlText w:val="•"/>
      <w:lvlJc w:val="left"/>
      <w:pPr>
        <w:ind w:left="2203" w:hanging="360"/>
      </w:pPr>
      <w:rPr>
        <w:rFonts w:hint="default"/>
        <w:lang w:val="es-ES" w:eastAsia="en-US" w:bidi="ar-SA"/>
      </w:rPr>
    </w:lvl>
    <w:lvl w:ilvl="7">
      <w:start w:val="0"/>
      <w:numFmt w:val="bullet"/>
      <w:lvlText w:val="•"/>
      <w:lvlJc w:val="left"/>
      <w:pPr>
        <w:ind w:left="2404" w:hanging="360"/>
      </w:pPr>
      <w:rPr>
        <w:rFonts w:hint="default"/>
        <w:lang w:val="es-ES" w:eastAsia="en-US" w:bidi="ar-SA"/>
      </w:rPr>
    </w:lvl>
    <w:lvl w:ilvl="8">
      <w:start w:val="0"/>
      <w:numFmt w:val="bullet"/>
      <w:lvlText w:val="•"/>
      <w:lvlJc w:val="left"/>
      <w:pPr>
        <w:ind w:left="2604" w:hanging="360"/>
      </w:pPr>
      <w:rPr>
        <w:rFonts w:hint="default"/>
        <w:lang w:val="es-ES" w:eastAsia="en-US" w:bidi="ar-SA"/>
      </w:rPr>
    </w:lvl>
  </w:abstractNum>
  <w:abstractNum w:abstractNumId="74">
    <w:multiLevelType w:val="hybridMultilevel"/>
    <w:lvl w:ilvl="0">
      <w:start w:val="0"/>
      <w:numFmt w:val="bullet"/>
      <w:lvlText w:val=""/>
      <w:lvlJc w:val="left"/>
      <w:pPr>
        <w:ind w:left="568"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8"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7"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6" w:hanging="454"/>
      </w:pPr>
      <w:rPr>
        <w:rFonts w:hint="default"/>
        <w:lang w:val="es-ES" w:eastAsia="en-US" w:bidi="ar-SA"/>
      </w:rPr>
    </w:lvl>
    <w:lvl w:ilvl="7">
      <w:start w:val="0"/>
      <w:numFmt w:val="bullet"/>
      <w:lvlText w:val="•"/>
      <w:lvlJc w:val="left"/>
      <w:pPr>
        <w:ind w:left="2270" w:hanging="454"/>
      </w:pPr>
      <w:rPr>
        <w:rFonts w:hint="default"/>
        <w:lang w:val="es-ES" w:eastAsia="en-US" w:bidi="ar-SA"/>
      </w:rPr>
    </w:lvl>
    <w:lvl w:ilvl="8">
      <w:start w:val="0"/>
      <w:numFmt w:val="bullet"/>
      <w:lvlText w:val="•"/>
      <w:lvlJc w:val="left"/>
      <w:pPr>
        <w:ind w:left="2515" w:hanging="454"/>
      </w:pPr>
      <w:rPr>
        <w:rFonts w:hint="default"/>
        <w:lang w:val="es-ES" w:eastAsia="en-US" w:bidi="ar-SA"/>
      </w:rPr>
    </w:lvl>
  </w:abstractNum>
  <w:abstractNum w:abstractNumId="73">
    <w:multiLevelType w:val="hybridMultilevel"/>
    <w:lvl w:ilvl="0">
      <w:start w:val="0"/>
      <w:numFmt w:val="bullet"/>
      <w:lvlText w:val=""/>
      <w:lvlJc w:val="left"/>
      <w:pPr>
        <w:ind w:left="474" w:hanging="360"/>
      </w:pPr>
      <w:rPr>
        <w:rFonts w:hint="default" w:ascii="Symbol" w:hAnsi="Symbol" w:eastAsia="Symbol" w:cs="Symbol"/>
        <w:w w:val="99"/>
        <w:sz w:val="18"/>
        <w:szCs w:val="18"/>
        <w:lang w:val="es-ES" w:eastAsia="en-US" w:bidi="ar-SA"/>
      </w:rPr>
    </w:lvl>
    <w:lvl w:ilvl="1">
      <w:start w:val="0"/>
      <w:numFmt w:val="bullet"/>
      <w:lvlText w:val="•"/>
      <w:lvlJc w:val="left"/>
      <w:pPr>
        <w:ind w:left="732" w:hanging="360"/>
      </w:pPr>
      <w:rPr>
        <w:rFonts w:hint="default"/>
        <w:lang w:val="es-ES" w:eastAsia="en-US" w:bidi="ar-SA"/>
      </w:rPr>
    </w:lvl>
    <w:lvl w:ilvl="2">
      <w:start w:val="0"/>
      <w:numFmt w:val="bullet"/>
      <w:lvlText w:val="•"/>
      <w:lvlJc w:val="left"/>
      <w:pPr>
        <w:ind w:left="985" w:hanging="360"/>
      </w:pPr>
      <w:rPr>
        <w:rFonts w:hint="default"/>
        <w:lang w:val="es-ES" w:eastAsia="en-US" w:bidi="ar-SA"/>
      </w:rPr>
    </w:lvl>
    <w:lvl w:ilvl="3">
      <w:start w:val="0"/>
      <w:numFmt w:val="bullet"/>
      <w:lvlText w:val="•"/>
      <w:lvlJc w:val="left"/>
      <w:pPr>
        <w:ind w:left="1237" w:hanging="360"/>
      </w:pPr>
      <w:rPr>
        <w:rFonts w:hint="default"/>
        <w:lang w:val="es-ES" w:eastAsia="en-US" w:bidi="ar-SA"/>
      </w:rPr>
    </w:lvl>
    <w:lvl w:ilvl="4">
      <w:start w:val="0"/>
      <w:numFmt w:val="bullet"/>
      <w:lvlText w:val="•"/>
      <w:lvlJc w:val="left"/>
      <w:pPr>
        <w:ind w:left="1490" w:hanging="360"/>
      </w:pPr>
      <w:rPr>
        <w:rFonts w:hint="default"/>
        <w:lang w:val="es-ES" w:eastAsia="en-US" w:bidi="ar-SA"/>
      </w:rPr>
    </w:lvl>
    <w:lvl w:ilvl="5">
      <w:start w:val="0"/>
      <w:numFmt w:val="bullet"/>
      <w:lvlText w:val="•"/>
      <w:lvlJc w:val="left"/>
      <w:pPr>
        <w:ind w:left="1743" w:hanging="360"/>
      </w:pPr>
      <w:rPr>
        <w:rFonts w:hint="default"/>
        <w:lang w:val="es-ES" w:eastAsia="en-US" w:bidi="ar-SA"/>
      </w:rPr>
    </w:lvl>
    <w:lvl w:ilvl="6">
      <w:start w:val="0"/>
      <w:numFmt w:val="bullet"/>
      <w:lvlText w:val="•"/>
      <w:lvlJc w:val="left"/>
      <w:pPr>
        <w:ind w:left="1995" w:hanging="360"/>
      </w:pPr>
      <w:rPr>
        <w:rFonts w:hint="default"/>
        <w:lang w:val="es-ES" w:eastAsia="en-US" w:bidi="ar-SA"/>
      </w:rPr>
    </w:lvl>
    <w:lvl w:ilvl="7">
      <w:start w:val="0"/>
      <w:numFmt w:val="bullet"/>
      <w:lvlText w:val="•"/>
      <w:lvlJc w:val="left"/>
      <w:pPr>
        <w:ind w:left="2248" w:hanging="360"/>
      </w:pPr>
      <w:rPr>
        <w:rFonts w:hint="default"/>
        <w:lang w:val="es-ES" w:eastAsia="en-US" w:bidi="ar-SA"/>
      </w:rPr>
    </w:lvl>
    <w:lvl w:ilvl="8">
      <w:start w:val="0"/>
      <w:numFmt w:val="bullet"/>
      <w:lvlText w:val="•"/>
      <w:lvlJc w:val="left"/>
      <w:pPr>
        <w:ind w:left="2500" w:hanging="360"/>
      </w:pPr>
      <w:rPr>
        <w:rFonts w:hint="default"/>
        <w:lang w:val="es-ES" w:eastAsia="en-US" w:bidi="ar-SA"/>
      </w:rPr>
    </w:lvl>
  </w:abstractNum>
  <w:abstractNum w:abstractNumId="72">
    <w:multiLevelType w:val="hybridMultilevel"/>
    <w:lvl w:ilvl="0">
      <w:start w:val="0"/>
      <w:numFmt w:val="bullet"/>
      <w:lvlText w:val=""/>
      <w:lvlJc w:val="left"/>
      <w:pPr>
        <w:ind w:left="568"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8"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7"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6" w:hanging="454"/>
      </w:pPr>
      <w:rPr>
        <w:rFonts w:hint="default"/>
        <w:lang w:val="es-ES" w:eastAsia="en-US" w:bidi="ar-SA"/>
      </w:rPr>
    </w:lvl>
    <w:lvl w:ilvl="7">
      <w:start w:val="0"/>
      <w:numFmt w:val="bullet"/>
      <w:lvlText w:val="•"/>
      <w:lvlJc w:val="left"/>
      <w:pPr>
        <w:ind w:left="2270" w:hanging="454"/>
      </w:pPr>
      <w:rPr>
        <w:rFonts w:hint="default"/>
        <w:lang w:val="es-ES" w:eastAsia="en-US" w:bidi="ar-SA"/>
      </w:rPr>
    </w:lvl>
    <w:lvl w:ilvl="8">
      <w:start w:val="0"/>
      <w:numFmt w:val="bullet"/>
      <w:lvlText w:val="•"/>
      <w:lvlJc w:val="left"/>
      <w:pPr>
        <w:ind w:left="2515" w:hanging="454"/>
      </w:pPr>
      <w:rPr>
        <w:rFonts w:hint="default"/>
        <w:lang w:val="es-ES" w:eastAsia="en-US" w:bidi="ar-SA"/>
      </w:rPr>
    </w:lvl>
  </w:abstractNum>
  <w:abstractNum w:abstractNumId="71">
    <w:multiLevelType w:val="hybridMultilevel"/>
    <w:lvl w:ilvl="0">
      <w:start w:val="0"/>
      <w:numFmt w:val="bullet"/>
      <w:lvlText w:val=""/>
      <w:lvlJc w:val="left"/>
      <w:pPr>
        <w:ind w:left="474" w:hanging="360"/>
      </w:pPr>
      <w:rPr>
        <w:rFonts w:hint="default" w:ascii="Symbol" w:hAnsi="Symbol" w:eastAsia="Symbol" w:cs="Symbol"/>
        <w:w w:val="99"/>
        <w:sz w:val="18"/>
        <w:szCs w:val="18"/>
        <w:lang w:val="es-ES" w:eastAsia="en-US" w:bidi="ar-SA"/>
      </w:rPr>
    </w:lvl>
    <w:lvl w:ilvl="1">
      <w:start w:val="0"/>
      <w:numFmt w:val="bullet"/>
      <w:lvlText w:val="•"/>
      <w:lvlJc w:val="left"/>
      <w:pPr>
        <w:ind w:left="732" w:hanging="360"/>
      </w:pPr>
      <w:rPr>
        <w:rFonts w:hint="default"/>
        <w:lang w:val="es-ES" w:eastAsia="en-US" w:bidi="ar-SA"/>
      </w:rPr>
    </w:lvl>
    <w:lvl w:ilvl="2">
      <w:start w:val="0"/>
      <w:numFmt w:val="bullet"/>
      <w:lvlText w:val="•"/>
      <w:lvlJc w:val="left"/>
      <w:pPr>
        <w:ind w:left="985" w:hanging="360"/>
      </w:pPr>
      <w:rPr>
        <w:rFonts w:hint="default"/>
        <w:lang w:val="es-ES" w:eastAsia="en-US" w:bidi="ar-SA"/>
      </w:rPr>
    </w:lvl>
    <w:lvl w:ilvl="3">
      <w:start w:val="0"/>
      <w:numFmt w:val="bullet"/>
      <w:lvlText w:val="•"/>
      <w:lvlJc w:val="left"/>
      <w:pPr>
        <w:ind w:left="1237" w:hanging="360"/>
      </w:pPr>
      <w:rPr>
        <w:rFonts w:hint="default"/>
        <w:lang w:val="es-ES" w:eastAsia="en-US" w:bidi="ar-SA"/>
      </w:rPr>
    </w:lvl>
    <w:lvl w:ilvl="4">
      <w:start w:val="0"/>
      <w:numFmt w:val="bullet"/>
      <w:lvlText w:val="•"/>
      <w:lvlJc w:val="left"/>
      <w:pPr>
        <w:ind w:left="1490" w:hanging="360"/>
      </w:pPr>
      <w:rPr>
        <w:rFonts w:hint="default"/>
        <w:lang w:val="es-ES" w:eastAsia="en-US" w:bidi="ar-SA"/>
      </w:rPr>
    </w:lvl>
    <w:lvl w:ilvl="5">
      <w:start w:val="0"/>
      <w:numFmt w:val="bullet"/>
      <w:lvlText w:val="•"/>
      <w:lvlJc w:val="left"/>
      <w:pPr>
        <w:ind w:left="1743" w:hanging="360"/>
      </w:pPr>
      <w:rPr>
        <w:rFonts w:hint="default"/>
        <w:lang w:val="es-ES" w:eastAsia="en-US" w:bidi="ar-SA"/>
      </w:rPr>
    </w:lvl>
    <w:lvl w:ilvl="6">
      <w:start w:val="0"/>
      <w:numFmt w:val="bullet"/>
      <w:lvlText w:val="•"/>
      <w:lvlJc w:val="left"/>
      <w:pPr>
        <w:ind w:left="1995" w:hanging="360"/>
      </w:pPr>
      <w:rPr>
        <w:rFonts w:hint="default"/>
        <w:lang w:val="es-ES" w:eastAsia="en-US" w:bidi="ar-SA"/>
      </w:rPr>
    </w:lvl>
    <w:lvl w:ilvl="7">
      <w:start w:val="0"/>
      <w:numFmt w:val="bullet"/>
      <w:lvlText w:val="•"/>
      <w:lvlJc w:val="left"/>
      <w:pPr>
        <w:ind w:left="2248" w:hanging="360"/>
      </w:pPr>
      <w:rPr>
        <w:rFonts w:hint="default"/>
        <w:lang w:val="es-ES" w:eastAsia="en-US" w:bidi="ar-SA"/>
      </w:rPr>
    </w:lvl>
    <w:lvl w:ilvl="8">
      <w:start w:val="0"/>
      <w:numFmt w:val="bullet"/>
      <w:lvlText w:val="•"/>
      <w:lvlJc w:val="left"/>
      <w:pPr>
        <w:ind w:left="2500" w:hanging="360"/>
      </w:pPr>
      <w:rPr>
        <w:rFonts w:hint="default"/>
        <w:lang w:val="es-ES" w:eastAsia="en-US" w:bidi="ar-SA"/>
      </w:rPr>
    </w:lvl>
  </w:abstractNum>
  <w:abstractNum w:abstractNumId="70">
    <w:multiLevelType w:val="hybridMultilevel"/>
    <w:lvl w:ilvl="0">
      <w:start w:val="0"/>
      <w:numFmt w:val="bullet"/>
      <w:lvlText w:val=""/>
      <w:lvlJc w:val="left"/>
      <w:pPr>
        <w:ind w:left="568"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8"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7"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6" w:hanging="454"/>
      </w:pPr>
      <w:rPr>
        <w:rFonts w:hint="default"/>
        <w:lang w:val="es-ES" w:eastAsia="en-US" w:bidi="ar-SA"/>
      </w:rPr>
    </w:lvl>
    <w:lvl w:ilvl="7">
      <w:start w:val="0"/>
      <w:numFmt w:val="bullet"/>
      <w:lvlText w:val="•"/>
      <w:lvlJc w:val="left"/>
      <w:pPr>
        <w:ind w:left="2270" w:hanging="454"/>
      </w:pPr>
      <w:rPr>
        <w:rFonts w:hint="default"/>
        <w:lang w:val="es-ES" w:eastAsia="en-US" w:bidi="ar-SA"/>
      </w:rPr>
    </w:lvl>
    <w:lvl w:ilvl="8">
      <w:start w:val="0"/>
      <w:numFmt w:val="bullet"/>
      <w:lvlText w:val="•"/>
      <w:lvlJc w:val="left"/>
      <w:pPr>
        <w:ind w:left="2515" w:hanging="454"/>
      </w:pPr>
      <w:rPr>
        <w:rFonts w:hint="default"/>
        <w:lang w:val="es-ES" w:eastAsia="en-US" w:bidi="ar-SA"/>
      </w:rPr>
    </w:lvl>
  </w:abstractNum>
  <w:abstractNum w:abstractNumId="69">
    <w:multiLevelType w:val="hybridMultilevel"/>
    <w:lvl w:ilvl="0">
      <w:start w:val="0"/>
      <w:numFmt w:val="bullet"/>
      <w:lvlText w:val=""/>
      <w:lvlJc w:val="left"/>
      <w:pPr>
        <w:ind w:left="474" w:hanging="360"/>
      </w:pPr>
      <w:rPr>
        <w:rFonts w:hint="default" w:ascii="Symbol" w:hAnsi="Symbol" w:eastAsia="Symbol" w:cs="Symbol"/>
        <w:w w:val="99"/>
        <w:sz w:val="18"/>
        <w:szCs w:val="18"/>
        <w:lang w:val="es-ES" w:eastAsia="en-US" w:bidi="ar-SA"/>
      </w:rPr>
    </w:lvl>
    <w:lvl w:ilvl="1">
      <w:start w:val="0"/>
      <w:numFmt w:val="bullet"/>
      <w:lvlText w:val="•"/>
      <w:lvlJc w:val="left"/>
      <w:pPr>
        <w:ind w:left="732" w:hanging="360"/>
      </w:pPr>
      <w:rPr>
        <w:rFonts w:hint="default"/>
        <w:lang w:val="es-ES" w:eastAsia="en-US" w:bidi="ar-SA"/>
      </w:rPr>
    </w:lvl>
    <w:lvl w:ilvl="2">
      <w:start w:val="0"/>
      <w:numFmt w:val="bullet"/>
      <w:lvlText w:val="•"/>
      <w:lvlJc w:val="left"/>
      <w:pPr>
        <w:ind w:left="985" w:hanging="360"/>
      </w:pPr>
      <w:rPr>
        <w:rFonts w:hint="default"/>
        <w:lang w:val="es-ES" w:eastAsia="en-US" w:bidi="ar-SA"/>
      </w:rPr>
    </w:lvl>
    <w:lvl w:ilvl="3">
      <w:start w:val="0"/>
      <w:numFmt w:val="bullet"/>
      <w:lvlText w:val="•"/>
      <w:lvlJc w:val="left"/>
      <w:pPr>
        <w:ind w:left="1237" w:hanging="360"/>
      </w:pPr>
      <w:rPr>
        <w:rFonts w:hint="default"/>
        <w:lang w:val="es-ES" w:eastAsia="en-US" w:bidi="ar-SA"/>
      </w:rPr>
    </w:lvl>
    <w:lvl w:ilvl="4">
      <w:start w:val="0"/>
      <w:numFmt w:val="bullet"/>
      <w:lvlText w:val="•"/>
      <w:lvlJc w:val="left"/>
      <w:pPr>
        <w:ind w:left="1490" w:hanging="360"/>
      </w:pPr>
      <w:rPr>
        <w:rFonts w:hint="default"/>
        <w:lang w:val="es-ES" w:eastAsia="en-US" w:bidi="ar-SA"/>
      </w:rPr>
    </w:lvl>
    <w:lvl w:ilvl="5">
      <w:start w:val="0"/>
      <w:numFmt w:val="bullet"/>
      <w:lvlText w:val="•"/>
      <w:lvlJc w:val="left"/>
      <w:pPr>
        <w:ind w:left="1743" w:hanging="360"/>
      </w:pPr>
      <w:rPr>
        <w:rFonts w:hint="default"/>
        <w:lang w:val="es-ES" w:eastAsia="en-US" w:bidi="ar-SA"/>
      </w:rPr>
    </w:lvl>
    <w:lvl w:ilvl="6">
      <w:start w:val="0"/>
      <w:numFmt w:val="bullet"/>
      <w:lvlText w:val="•"/>
      <w:lvlJc w:val="left"/>
      <w:pPr>
        <w:ind w:left="1995" w:hanging="360"/>
      </w:pPr>
      <w:rPr>
        <w:rFonts w:hint="default"/>
        <w:lang w:val="es-ES" w:eastAsia="en-US" w:bidi="ar-SA"/>
      </w:rPr>
    </w:lvl>
    <w:lvl w:ilvl="7">
      <w:start w:val="0"/>
      <w:numFmt w:val="bullet"/>
      <w:lvlText w:val="•"/>
      <w:lvlJc w:val="left"/>
      <w:pPr>
        <w:ind w:left="2248" w:hanging="360"/>
      </w:pPr>
      <w:rPr>
        <w:rFonts w:hint="default"/>
        <w:lang w:val="es-ES" w:eastAsia="en-US" w:bidi="ar-SA"/>
      </w:rPr>
    </w:lvl>
    <w:lvl w:ilvl="8">
      <w:start w:val="0"/>
      <w:numFmt w:val="bullet"/>
      <w:lvlText w:val="•"/>
      <w:lvlJc w:val="left"/>
      <w:pPr>
        <w:ind w:left="2500" w:hanging="360"/>
      </w:pPr>
      <w:rPr>
        <w:rFonts w:hint="default"/>
        <w:lang w:val="es-ES" w:eastAsia="en-US" w:bidi="ar-SA"/>
      </w:rPr>
    </w:lvl>
  </w:abstractNum>
  <w:abstractNum w:abstractNumId="68">
    <w:multiLevelType w:val="hybridMultilevel"/>
    <w:lvl w:ilvl="0">
      <w:start w:val="0"/>
      <w:numFmt w:val="bullet"/>
      <w:lvlText w:val=""/>
      <w:lvlJc w:val="left"/>
      <w:pPr>
        <w:ind w:left="568"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8"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7"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6" w:hanging="454"/>
      </w:pPr>
      <w:rPr>
        <w:rFonts w:hint="default"/>
        <w:lang w:val="es-ES" w:eastAsia="en-US" w:bidi="ar-SA"/>
      </w:rPr>
    </w:lvl>
    <w:lvl w:ilvl="7">
      <w:start w:val="0"/>
      <w:numFmt w:val="bullet"/>
      <w:lvlText w:val="•"/>
      <w:lvlJc w:val="left"/>
      <w:pPr>
        <w:ind w:left="2270" w:hanging="454"/>
      </w:pPr>
      <w:rPr>
        <w:rFonts w:hint="default"/>
        <w:lang w:val="es-ES" w:eastAsia="en-US" w:bidi="ar-SA"/>
      </w:rPr>
    </w:lvl>
    <w:lvl w:ilvl="8">
      <w:start w:val="0"/>
      <w:numFmt w:val="bullet"/>
      <w:lvlText w:val="•"/>
      <w:lvlJc w:val="left"/>
      <w:pPr>
        <w:ind w:left="2515" w:hanging="454"/>
      </w:pPr>
      <w:rPr>
        <w:rFonts w:hint="default"/>
        <w:lang w:val="es-ES" w:eastAsia="en-US" w:bidi="ar-SA"/>
      </w:rPr>
    </w:lvl>
  </w:abstractNum>
  <w:abstractNum w:abstractNumId="67">
    <w:multiLevelType w:val="hybridMultilevel"/>
    <w:lvl w:ilvl="0">
      <w:start w:val="0"/>
      <w:numFmt w:val="bullet"/>
      <w:lvlText w:val=""/>
      <w:lvlJc w:val="left"/>
      <w:pPr>
        <w:ind w:left="474" w:hanging="360"/>
      </w:pPr>
      <w:rPr>
        <w:rFonts w:hint="default" w:ascii="Symbol" w:hAnsi="Symbol" w:eastAsia="Symbol" w:cs="Symbol"/>
        <w:w w:val="99"/>
        <w:sz w:val="18"/>
        <w:szCs w:val="18"/>
        <w:lang w:val="es-ES" w:eastAsia="en-US" w:bidi="ar-SA"/>
      </w:rPr>
    </w:lvl>
    <w:lvl w:ilvl="1">
      <w:start w:val="0"/>
      <w:numFmt w:val="bullet"/>
      <w:lvlText w:val="•"/>
      <w:lvlJc w:val="left"/>
      <w:pPr>
        <w:ind w:left="732" w:hanging="360"/>
      </w:pPr>
      <w:rPr>
        <w:rFonts w:hint="default"/>
        <w:lang w:val="es-ES" w:eastAsia="en-US" w:bidi="ar-SA"/>
      </w:rPr>
    </w:lvl>
    <w:lvl w:ilvl="2">
      <w:start w:val="0"/>
      <w:numFmt w:val="bullet"/>
      <w:lvlText w:val="•"/>
      <w:lvlJc w:val="left"/>
      <w:pPr>
        <w:ind w:left="985" w:hanging="360"/>
      </w:pPr>
      <w:rPr>
        <w:rFonts w:hint="default"/>
        <w:lang w:val="es-ES" w:eastAsia="en-US" w:bidi="ar-SA"/>
      </w:rPr>
    </w:lvl>
    <w:lvl w:ilvl="3">
      <w:start w:val="0"/>
      <w:numFmt w:val="bullet"/>
      <w:lvlText w:val="•"/>
      <w:lvlJc w:val="left"/>
      <w:pPr>
        <w:ind w:left="1237" w:hanging="360"/>
      </w:pPr>
      <w:rPr>
        <w:rFonts w:hint="default"/>
        <w:lang w:val="es-ES" w:eastAsia="en-US" w:bidi="ar-SA"/>
      </w:rPr>
    </w:lvl>
    <w:lvl w:ilvl="4">
      <w:start w:val="0"/>
      <w:numFmt w:val="bullet"/>
      <w:lvlText w:val="•"/>
      <w:lvlJc w:val="left"/>
      <w:pPr>
        <w:ind w:left="1490" w:hanging="360"/>
      </w:pPr>
      <w:rPr>
        <w:rFonts w:hint="default"/>
        <w:lang w:val="es-ES" w:eastAsia="en-US" w:bidi="ar-SA"/>
      </w:rPr>
    </w:lvl>
    <w:lvl w:ilvl="5">
      <w:start w:val="0"/>
      <w:numFmt w:val="bullet"/>
      <w:lvlText w:val="•"/>
      <w:lvlJc w:val="left"/>
      <w:pPr>
        <w:ind w:left="1743" w:hanging="360"/>
      </w:pPr>
      <w:rPr>
        <w:rFonts w:hint="default"/>
        <w:lang w:val="es-ES" w:eastAsia="en-US" w:bidi="ar-SA"/>
      </w:rPr>
    </w:lvl>
    <w:lvl w:ilvl="6">
      <w:start w:val="0"/>
      <w:numFmt w:val="bullet"/>
      <w:lvlText w:val="•"/>
      <w:lvlJc w:val="left"/>
      <w:pPr>
        <w:ind w:left="1995" w:hanging="360"/>
      </w:pPr>
      <w:rPr>
        <w:rFonts w:hint="default"/>
        <w:lang w:val="es-ES" w:eastAsia="en-US" w:bidi="ar-SA"/>
      </w:rPr>
    </w:lvl>
    <w:lvl w:ilvl="7">
      <w:start w:val="0"/>
      <w:numFmt w:val="bullet"/>
      <w:lvlText w:val="•"/>
      <w:lvlJc w:val="left"/>
      <w:pPr>
        <w:ind w:left="2248" w:hanging="360"/>
      </w:pPr>
      <w:rPr>
        <w:rFonts w:hint="default"/>
        <w:lang w:val="es-ES" w:eastAsia="en-US" w:bidi="ar-SA"/>
      </w:rPr>
    </w:lvl>
    <w:lvl w:ilvl="8">
      <w:start w:val="0"/>
      <w:numFmt w:val="bullet"/>
      <w:lvlText w:val="•"/>
      <w:lvlJc w:val="left"/>
      <w:pPr>
        <w:ind w:left="2500" w:hanging="360"/>
      </w:pPr>
      <w:rPr>
        <w:rFonts w:hint="default"/>
        <w:lang w:val="es-ES" w:eastAsia="en-US" w:bidi="ar-SA"/>
      </w:rPr>
    </w:lvl>
  </w:abstractNum>
  <w:abstractNum w:abstractNumId="66">
    <w:multiLevelType w:val="hybridMultilevel"/>
    <w:lvl w:ilvl="0">
      <w:start w:val="0"/>
      <w:numFmt w:val="bullet"/>
      <w:lvlText w:val=""/>
      <w:lvlJc w:val="left"/>
      <w:pPr>
        <w:ind w:left="568"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8"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7"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6" w:hanging="454"/>
      </w:pPr>
      <w:rPr>
        <w:rFonts w:hint="default"/>
        <w:lang w:val="es-ES" w:eastAsia="en-US" w:bidi="ar-SA"/>
      </w:rPr>
    </w:lvl>
    <w:lvl w:ilvl="7">
      <w:start w:val="0"/>
      <w:numFmt w:val="bullet"/>
      <w:lvlText w:val="•"/>
      <w:lvlJc w:val="left"/>
      <w:pPr>
        <w:ind w:left="2270" w:hanging="454"/>
      </w:pPr>
      <w:rPr>
        <w:rFonts w:hint="default"/>
        <w:lang w:val="es-ES" w:eastAsia="en-US" w:bidi="ar-SA"/>
      </w:rPr>
    </w:lvl>
    <w:lvl w:ilvl="8">
      <w:start w:val="0"/>
      <w:numFmt w:val="bullet"/>
      <w:lvlText w:val="•"/>
      <w:lvlJc w:val="left"/>
      <w:pPr>
        <w:ind w:left="2515" w:hanging="454"/>
      </w:pPr>
      <w:rPr>
        <w:rFonts w:hint="default"/>
        <w:lang w:val="es-ES" w:eastAsia="en-US" w:bidi="ar-SA"/>
      </w:rPr>
    </w:lvl>
  </w:abstractNum>
  <w:abstractNum w:abstractNumId="65">
    <w:multiLevelType w:val="hybridMultilevel"/>
    <w:lvl w:ilvl="0">
      <w:start w:val="0"/>
      <w:numFmt w:val="bullet"/>
      <w:lvlText w:val=""/>
      <w:lvlJc w:val="left"/>
      <w:pPr>
        <w:ind w:left="567"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9"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8" w:hanging="454"/>
      </w:pPr>
      <w:rPr>
        <w:rFonts w:hint="default"/>
        <w:lang w:val="es-ES" w:eastAsia="en-US" w:bidi="ar-SA"/>
      </w:rPr>
    </w:lvl>
    <w:lvl w:ilvl="5">
      <w:start w:val="0"/>
      <w:numFmt w:val="bullet"/>
      <w:lvlText w:val="•"/>
      <w:lvlJc w:val="left"/>
      <w:pPr>
        <w:ind w:left="1783" w:hanging="454"/>
      </w:pPr>
      <w:rPr>
        <w:rFonts w:hint="default"/>
        <w:lang w:val="es-ES" w:eastAsia="en-US" w:bidi="ar-SA"/>
      </w:rPr>
    </w:lvl>
    <w:lvl w:ilvl="6">
      <w:start w:val="0"/>
      <w:numFmt w:val="bullet"/>
      <w:lvlText w:val="•"/>
      <w:lvlJc w:val="left"/>
      <w:pPr>
        <w:ind w:left="2027" w:hanging="454"/>
      </w:pPr>
      <w:rPr>
        <w:rFonts w:hint="default"/>
        <w:lang w:val="es-ES" w:eastAsia="en-US" w:bidi="ar-SA"/>
      </w:rPr>
    </w:lvl>
    <w:lvl w:ilvl="7">
      <w:start w:val="0"/>
      <w:numFmt w:val="bullet"/>
      <w:lvlText w:val="•"/>
      <w:lvlJc w:val="left"/>
      <w:pPr>
        <w:ind w:left="2272" w:hanging="454"/>
      </w:pPr>
      <w:rPr>
        <w:rFonts w:hint="default"/>
        <w:lang w:val="es-ES" w:eastAsia="en-US" w:bidi="ar-SA"/>
      </w:rPr>
    </w:lvl>
    <w:lvl w:ilvl="8">
      <w:start w:val="0"/>
      <w:numFmt w:val="bullet"/>
      <w:lvlText w:val="•"/>
      <w:lvlJc w:val="left"/>
      <w:pPr>
        <w:ind w:left="2516" w:hanging="454"/>
      </w:pPr>
      <w:rPr>
        <w:rFonts w:hint="default"/>
        <w:lang w:val="es-ES" w:eastAsia="en-US" w:bidi="ar-SA"/>
      </w:rPr>
    </w:lvl>
  </w:abstractNum>
  <w:abstractNum w:abstractNumId="64">
    <w:multiLevelType w:val="hybridMultilevel"/>
    <w:lvl w:ilvl="0">
      <w:start w:val="0"/>
      <w:numFmt w:val="bullet"/>
      <w:lvlText w:val=""/>
      <w:lvlJc w:val="left"/>
      <w:pPr>
        <w:ind w:left="568"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8"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7" w:hanging="454"/>
      </w:pPr>
      <w:rPr>
        <w:rFonts w:hint="default"/>
        <w:lang w:val="es-ES" w:eastAsia="en-US" w:bidi="ar-SA"/>
      </w:rPr>
    </w:lvl>
    <w:lvl w:ilvl="5">
      <w:start w:val="0"/>
      <w:numFmt w:val="bullet"/>
      <w:lvlText w:val="•"/>
      <w:lvlJc w:val="left"/>
      <w:pPr>
        <w:ind w:left="1782" w:hanging="454"/>
      </w:pPr>
      <w:rPr>
        <w:rFonts w:hint="default"/>
        <w:lang w:val="es-ES" w:eastAsia="en-US" w:bidi="ar-SA"/>
      </w:rPr>
    </w:lvl>
    <w:lvl w:ilvl="6">
      <w:start w:val="0"/>
      <w:numFmt w:val="bullet"/>
      <w:lvlText w:val="•"/>
      <w:lvlJc w:val="left"/>
      <w:pPr>
        <w:ind w:left="2026" w:hanging="454"/>
      </w:pPr>
      <w:rPr>
        <w:rFonts w:hint="default"/>
        <w:lang w:val="es-ES" w:eastAsia="en-US" w:bidi="ar-SA"/>
      </w:rPr>
    </w:lvl>
    <w:lvl w:ilvl="7">
      <w:start w:val="0"/>
      <w:numFmt w:val="bullet"/>
      <w:lvlText w:val="•"/>
      <w:lvlJc w:val="left"/>
      <w:pPr>
        <w:ind w:left="2270" w:hanging="454"/>
      </w:pPr>
      <w:rPr>
        <w:rFonts w:hint="default"/>
        <w:lang w:val="es-ES" w:eastAsia="en-US" w:bidi="ar-SA"/>
      </w:rPr>
    </w:lvl>
    <w:lvl w:ilvl="8">
      <w:start w:val="0"/>
      <w:numFmt w:val="bullet"/>
      <w:lvlText w:val="•"/>
      <w:lvlJc w:val="left"/>
      <w:pPr>
        <w:ind w:left="2515" w:hanging="454"/>
      </w:pPr>
      <w:rPr>
        <w:rFonts w:hint="default"/>
        <w:lang w:val="es-ES" w:eastAsia="en-US" w:bidi="ar-SA"/>
      </w:rPr>
    </w:lvl>
  </w:abstractNum>
  <w:abstractNum w:abstractNumId="63">
    <w:multiLevelType w:val="hybridMultilevel"/>
    <w:lvl w:ilvl="0">
      <w:start w:val="0"/>
      <w:numFmt w:val="bullet"/>
      <w:lvlText w:val=""/>
      <w:lvlJc w:val="left"/>
      <w:pPr>
        <w:ind w:left="567" w:hanging="454"/>
      </w:pPr>
      <w:rPr>
        <w:rFonts w:hint="default" w:ascii="Symbol" w:hAnsi="Symbol" w:eastAsia="Symbol" w:cs="Symbol"/>
        <w:w w:val="99"/>
        <w:sz w:val="18"/>
        <w:szCs w:val="18"/>
        <w:lang w:val="es-ES" w:eastAsia="en-US" w:bidi="ar-SA"/>
      </w:rPr>
    </w:lvl>
    <w:lvl w:ilvl="1">
      <w:start w:val="0"/>
      <w:numFmt w:val="bullet"/>
      <w:lvlText w:val="•"/>
      <w:lvlJc w:val="left"/>
      <w:pPr>
        <w:ind w:left="804" w:hanging="454"/>
      </w:pPr>
      <w:rPr>
        <w:rFonts w:hint="default"/>
        <w:lang w:val="es-ES" w:eastAsia="en-US" w:bidi="ar-SA"/>
      </w:rPr>
    </w:lvl>
    <w:lvl w:ilvl="2">
      <w:start w:val="0"/>
      <w:numFmt w:val="bullet"/>
      <w:lvlText w:val="•"/>
      <w:lvlJc w:val="left"/>
      <w:pPr>
        <w:ind w:left="1049" w:hanging="454"/>
      </w:pPr>
      <w:rPr>
        <w:rFonts w:hint="default"/>
        <w:lang w:val="es-ES" w:eastAsia="en-US" w:bidi="ar-SA"/>
      </w:rPr>
    </w:lvl>
    <w:lvl w:ilvl="3">
      <w:start w:val="0"/>
      <w:numFmt w:val="bullet"/>
      <w:lvlText w:val="•"/>
      <w:lvlJc w:val="left"/>
      <w:pPr>
        <w:ind w:left="1293" w:hanging="454"/>
      </w:pPr>
      <w:rPr>
        <w:rFonts w:hint="default"/>
        <w:lang w:val="es-ES" w:eastAsia="en-US" w:bidi="ar-SA"/>
      </w:rPr>
    </w:lvl>
    <w:lvl w:ilvl="4">
      <w:start w:val="0"/>
      <w:numFmt w:val="bullet"/>
      <w:lvlText w:val="•"/>
      <w:lvlJc w:val="left"/>
      <w:pPr>
        <w:ind w:left="1538" w:hanging="454"/>
      </w:pPr>
      <w:rPr>
        <w:rFonts w:hint="default"/>
        <w:lang w:val="es-ES" w:eastAsia="en-US" w:bidi="ar-SA"/>
      </w:rPr>
    </w:lvl>
    <w:lvl w:ilvl="5">
      <w:start w:val="0"/>
      <w:numFmt w:val="bullet"/>
      <w:lvlText w:val="•"/>
      <w:lvlJc w:val="left"/>
      <w:pPr>
        <w:ind w:left="1783" w:hanging="454"/>
      </w:pPr>
      <w:rPr>
        <w:rFonts w:hint="default"/>
        <w:lang w:val="es-ES" w:eastAsia="en-US" w:bidi="ar-SA"/>
      </w:rPr>
    </w:lvl>
    <w:lvl w:ilvl="6">
      <w:start w:val="0"/>
      <w:numFmt w:val="bullet"/>
      <w:lvlText w:val="•"/>
      <w:lvlJc w:val="left"/>
      <w:pPr>
        <w:ind w:left="2027" w:hanging="454"/>
      </w:pPr>
      <w:rPr>
        <w:rFonts w:hint="default"/>
        <w:lang w:val="es-ES" w:eastAsia="en-US" w:bidi="ar-SA"/>
      </w:rPr>
    </w:lvl>
    <w:lvl w:ilvl="7">
      <w:start w:val="0"/>
      <w:numFmt w:val="bullet"/>
      <w:lvlText w:val="•"/>
      <w:lvlJc w:val="left"/>
      <w:pPr>
        <w:ind w:left="2272" w:hanging="454"/>
      </w:pPr>
      <w:rPr>
        <w:rFonts w:hint="default"/>
        <w:lang w:val="es-ES" w:eastAsia="en-US" w:bidi="ar-SA"/>
      </w:rPr>
    </w:lvl>
    <w:lvl w:ilvl="8">
      <w:start w:val="0"/>
      <w:numFmt w:val="bullet"/>
      <w:lvlText w:val="•"/>
      <w:lvlJc w:val="left"/>
      <w:pPr>
        <w:ind w:left="2516" w:hanging="454"/>
      </w:pPr>
      <w:rPr>
        <w:rFonts w:hint="default"/>
        <w:lang w:val="es-ES" w:eastAsia="en-US" w:bidi="ar-SA"/>
      </w:rPr>
    </w:lvl>
  </w:abstractNum>
  <w:abstractNum w:abstractNumId="62">
    <w:multiLevelType w:val="hybridMultilevel"/>
    <w:lvl w:ilvl="0">
      <w:start w:val="1"/>
      <w:numFmt w:val="decimal"/>
      <w:lvlText w:val="%1."/>
      <w:lvlJc w:val="left"/>
      <w:pPr>
        <w:ind w:left="1658" w:hanging="360"/>
        <w:jc w:val="left"/>
      </w:pPr>
      <w:rPr>
        <w:rFonts w:hint="default" w:ascii="Verdana" w:hAnsi="Verdana" w:eastAsia="Verdana" w:cs="Verdana"/>
        <w:w w:val="99"/>
        <w:sz w:val="20"/>
        <w:szCs w:val="20"/>
        <w:lang w:val="es-ES" w:eastAsia="en-US" w:bidi="ar-SA"/>
      </w:rPr>
    </w:lvl>
    <w:lvl w:ilvl="1">
      <w:start w:val="0"/>
      <w:numFmt w:val="bullet"/>
      <w:lvlText w:val="•"/>
      <w:lvlJc w:val="left"/>
      <w:pPr>
        <w:ind w:left="2560" w:hanging="360"/>
      </w:pPr>
      <w:rPr>
        <w:rFonts w:hint="default"/>
        <w:lang w:val="es-ES" w:eastAsia="en-US" w:bidi="ar-SA"/>
      </w:rPr>
    </w:lvl>
    <w:lvl w:ilvl="2">
      <w:start w:val="0"/>
      <w:numFmt w:val="bullet"/>
      <w:lvlText w:val="•"/>
      <w:lvlJc w:val="left"/>
      <w:pPr>
        <w:ind w:left="3460" w:hanging="360"/>
      </w:pPr>
      <w:rPr>
        <w:rFonts w:hint="default"/>
        <w:lang w:val="es-ES" w:eastAsia="en-US" w:bidi="ar-SA"/>
      </w:rPr>
    </w:lvl>
    <w:lvl w:ilvl="3">
      <w:start w:val="0"/>
      <w:numFmt w:val="bullet"/>
      <w:lvlText w:val="•"/>
      <w:lvlJc w:val="left"/>
      <w:pPr>
        <w:ind w:left="4360" w:hanging="360"/>
      </w:pPr>
      <w:rPr>
        <w:rFonts w:hint="default"/>
        <w:lang w:val="es-ES" w:eastAsia="en-US" w:bidi="ar-SA"/>
      </w:rPr>
    </w:lvl>
    <w:lvl w:ilvl="4">
      <w:start w:val="0"/>
      <w:numFmt w:val="bullet"/>
      <w:lvlText w:val="•"/>
      <w:lvlJc w:val="left"/>
      <w:pPr>
        <w:ind w:left="5260" w:hanging="360"/>
      </w:pPr>
      <w:rPr>
        <w:rFonts w:hint="default"/>
        <w:lang w:val="es-ES" w:eastAsia="en-US" w:bidi="ar-SA"/>
      </w:rPr>
    </w:lvl>
    <w:lvl w:ilvl="5">
      <w:start w:val="0"/>
      <w:numFmt w:val="bullet"/>
      <w:lvlText w:val="•"/>
      <w:lvlJc w:val="left"/>
      <w:pPr>
        <w:ind w:left="6160" w:hanging="360"/>
      </w:pPr>
      <w:rPr>
        <w:rFonts w:hint="default"/>
        <w:lang w:val="es-ES" w:eastAsia="en-US" w:bidi="ar-SA"/>
      </w:rPr>
    </w:lvl>
    <w:lvl w:ilvl="6">
      <w:start w:val="0"/>
      <w:numFmt w:val="bullet"/>
      <w:lvlText w:val="•"/>
      <w:lvlJc w:val="left"/>
      <w:pPr>
        <w:ind w:left="7060" w:hanging="360"/>
      </w:pPr>
      <w:rPr>
        <w:rFonts w:hint="default"/>
        <w:lang w:val="es-ES" w:eastAsia="en-US" w:bidi="ar-SA"/>
      </w:rPr>
    </w:lvl>
    <w:lvl w:ilvl="7">
      <w:start w:val="0"/>
      <w:numFmt w:val="bullet"/>
      <w:lvlText w:val="•"/>
      <w:lvlJc w:val="left"/>
      <w:pPr>
        <w:ind w:left="7960" w:hanging="360"/>
      </w:pPr>
      <w:rPr>
        <w:rFonts w:hint="default"/>
        <w:lang w:val="es-ES" w:eastAsia="en-US" w:bidi="ar-SA"/>
      </w:rPr>
    </w:lvl>
    <w:lvl w:ilvl="8">
      <w:start w:val="0"/>
      <w:numFmt w:val="bullet"/>
      <w:lvlText w:val="•"/>
      <w:lvlJc w:val="left"/>
      <w:pPr>
        <w:ind w:left="8860" w:hanging="360"/>
      </w:pPr>
      <w:rPr>
        <w:rFonts w:hint="default"/>
        <w:lang w:val="es-ES" w:eastAsia="en-US" w:bidi="ar-SA"/>
      </w:rPr>
    </w:lvl>
  </w:abstractNum>
  <w:abstractNum w:abstractNumId="61">
    <w:multiLevelType w:val="hybridMultilevel"/>
    <w:lvl w:ilvl="0">
      <w:start w:val="0"/>
      <w:numFmt w:val="bullet"/>
      <w:lvlText w:val=""/>
      <w:lvlJc w:val="left"/>
      <w:pPr>
        <w:ind w:left="960" w:hanging="360"/>
      </w:pPr>
      <w:rPr>
        <w:rFonts w:hint="default" w:ascii="Symbol" w:hAnsi="Symbol" w:eastAsia="Symbol" w:cs="Symbol"/>
        <w:w w:val="99"/>
        <w:sz w:val="23"/>
        <w:szCs w:val="23"/>
        <w:lang w:val="es-ES" w:eastAsia="en-US" w:bidi="ar-SA"/>
      </w:rPr>
    </w:lvl>
    <w:lvl w:ilvl="1">
      <w:start w:val="0"/>
      <w:numFmt w:val="bullet"/>
      <w:lvlText w:val="•"/>
      <w:lvlJc w:val="left"/>
      <w:pPr>
        <w:ind w:left="1930" w:hanging="360"/>
      </w:pPr>
      <w:rPr>
        <w:rFonts w:hint="default"/>
        <w:lang w:val="es-ES" w:eastAsia="en-US" w:bidi="ar-SA"/>
      </w:rPr>
    </w:lvl>
    <w:lvl w:ilvl="2">
      <w:start w:val="0"/>
      <w:numFmt w:val="bullet"/>
      <w:lvlText w:val="•"/>
      <w:lvlJc w:val="left"/>
      <w:pPr>
        <w:ind w:left="2900" w:hanging="360"/>
      </w:pPr>
      <w:rPr>
        <w:rFonts w:hint="default"/>
        <w:lang w:val="es-ES" w:eastAsia="en-US" w:bidi="ar-SA"/>
      </w:rPr>
    </w:lvl>
    <w:lvl w:ilvl="3">
      <w:start w:val="0"/>
      <w:numFmt w:val="bullet"/>
      <w:lvlText w:val="•"/>
      <w:lvlJc w:val="left"/>
      <w:pPr>
        <w:ind w:left="3870" w:hanging="360"/>
      </w:pPr>
      <w:rPr>
        <w:rFonts w:hint="default"/>
        <w:lang w:val="es-ES" w:eastAsia="en-US" w:bidi="ar-SA"/>
      </w:rPr>
    </w:lvl>
    <w:lvl w:ilvl="4">
      <w:start w:val="0"/>
      <w:numFmt w:val="bullet"/>
      <w:lvlText w:val="•"/>
      <w:lvlJc w:val="left"/>
      <w:pPr>
        <w:ind w:left="4840" w:hanging="360"/>
      </w:pPr>
      <w:rPr>
        <w:rFonts w:hint="default"/>
        <w:lang w:val="es-ES" w:eastAsia="en-US" w:bidi="ar-SA"/>
      </w:rPr>
    </w:lvl>
    <w:lvl w:ilvl="5">
      <w:start w:val="0"/>
      <w:numFmt w:val="bullet"/>
      <w:lvlText w:val="•"/>
      <w:lvlJc w:val="left"/>
      <w:pPr>
        <w:ind w:left="5810" w:hanging="360"/>
      </w:pPr>
      <w:rPr>
        <w:rFonts w:hint="default"/>
        <w:lang w:val="es-ES" w:eastAsia="en-US" w:bidi="ar-SA"/>
      </w:rPr>
    </w:lvl>
    <w:lvl w:ilvl="6">
      <w:start w:val="0"/>
      <w:numFmt w:val="bullet"/>
      <w:lvlText w:val="•"/>
      <w:lvlJc w:val="left"/>
      <w:pPr>
        <w:ind w:left="6780" w:hanging="360"/>
      </w:pPr>
      <w:rPr>
        <w:rFonts w:hint="default"/>
        <w:lang w:val="es-ES" w:eastAsia="en-US" w:bidi="ar-SA"/>
      </w:rPr>
    </w:lvl>
    <w:lvl w:ilvl="7">
      <w:start w:val="0"/>
      <w:numFmt w:val="bullet"/>
      <w:lvlText w:val="•"/>
      <w:lvlJc w:val="left"/>
      <w:pPr>
        <w:ind w:left="7750" w:hanging="360"/>
      </w:pPr>
      <w:rPr>
        <w:rFonts w:hint="default"/>
        <w:lang w:val="es-ES" w:eastAsia="en-US" w:bidi="ar-SA"/>
      </w:rPr>
    </w:lvl>
    <w:lvl w:ilvl="8">
      <w:start w:val="0"/>
      <w:numFmt w:val="bullet"/>
      <w:lvlText w:val="•"/>
      <w:lvlJc w:val="left"/>
      <w:pPr>
        <w:ind w:left="8720" w:hanging="360"/>
      </w:pPr>
      <w:rPr>
        <w:rFonts w:hint="default"/>
        <w:lang w:val="es-ES" w:eastAsia="en-US" w:bidi="ar-SA"/>
      </w:rPr>
    </w:lvl>
  </w:abstractNum>
  <w:abstractNum w:abstractNumId="60">
    <w:multiLevelType w:val="hybridMultilevel"/>
    <w:lvl w:ilvl="0">
      <w:start w:val="1"/>
      <w:numFmt w:val="decimal"/>
      <w:lvlText w:val="%1."/>
      <w:lvlJc w:val="left"/>
      <w:pPr>
        <w:ind w:left="959" w:hanging="360"/>
        <w:jc w:val="left"/>
      </w:pPr>
      <w:rPr>
        <w:rFonts w:hint="default" w:ascii="Verdana" w:hAnsi="Verdana" w:eastAsia="Verdana" w:cs="Verdana"/>
        <w:w w:val="99"/>
        <w:sz w:val="20"/>
        <w:szCs w:val="20"/>
        <w:lang w:val="es-ES" w:eastAsia="en-US" w:bidi="ar-SA"/>
      </w:rPr>
    </w:lvl>
    <w:lvl w:ilvl="1">
      <w:start w:val="0"/>
      <w:numFmt w:val="bullet"/>
      <w:lvlText w:val="•"/>
      <w:lvlJc w:val="left"/>
      <w:pPr>
        <w:ind w:left="1930" w:hanging="360"/>
      </w:pPr>
      <w:rPr>
        <w:rFonts w:hint="default"/>
        <w:lang w:val="es-ES" w:eastAsia="en-US" w:bidi="ar-SA"/>
      </w:rPr>
    </w:lvl>
    <w:lvl w:ilvl="2">
      <w:start w:val="0"/>
      <w:numFmt w:val="bullet"/>
      <w:lvlText w:val="•"/>
      <w:lvlJc w:val="left"/>
      <w:pPr>
        <w:ind w:left="2900" w:hanging="360"/>
      </w:pPr>
      <w:rPr>
        <w:rFonts w:hint="default"/>
        <w:lang w:val="es-ES" w:eastAsia="en-US" w:bidi="ar-SA"/>
      </w:rPr>
    </w:lvl>
    <w:lvl w:ilvl="3">
      <w:start w:val="0"/>
      <w:numFmt w:val="bullet"/>
      <w:lvlText w:val="•"/>
      <w:lvlJc w:val="left"/>
      <w:pPr>
        <w:ind w:left="3870" w:hanging="360"/>
      </w:pPr>
      <w:rPr>
        <w:rFonts w:hint="default"/>
        <w:lang w:val="es-ES" w:eastAsia="en-US" w:bidi="ar-SA"/>
      </w:rPr>
    </w:lvl>
    <w:lvl w:ilvl="4">
      <w:start w:val="0"/>
      <w:numFmt w:val="bullet"/>
      <w:lvlText w:val="•"/>
      <w:lvlJc w:val="left"/>
      <w:pPr>
        <w:ind w:left="4840" w:hanging="360"/>
      </w:pPr>
      <w:rPr>
        <w:rFonts w:hint="default"/>
        <w:lang w:val="es-ES" w:eastAsia="en-US" w:bidi="ar-SA"/>
      </w:rPr>
    </w:lvl>
    <w:lvl w:ilvl="5">
      <w:start w:val="0"/>
      <w:numFmt w:val="bullet"/>
      <w:lvlText w:val="•"/>
      <w:lvlJc w:val="left"/>
      <w:pPr>
        <w:ind w:left="5810" w:hanging="360"/>
      </w:pPr>
      <w:rPr>
        <w:rFonts w:hint="default"/>
        <w:lang w:val="es-ES" w:eastAsia="en-US" w:bidi="ar-SA"/>
      </w:rPr>
    </w:lvl>
    <w:lvl w:ilvl="6">
      <w:start w:val="0"/>
      <w:numFmt w:val="bullet"/>
      <w:lvlText w:val="•"/>
      <w:lvlJc w:val="left"/>
      <w:pPr>
        <w:ind w:left="6780" w:hanging="360"/>
      </w:pPr>
      <w:rPr>
        <w:rFonts w:hint="default"/>
        <w:lang w:val="es-ES" w:eastAsia="en-US" w:bidi="ar-SA"/>
      </w:rPr>
    </w:lvl>
    <w:lvl w:ilvl="7">
      <w:start w:val="0"/>
      <w:numFmt w:val="bullet"/>
      <w:lvlText w:val="•"/>
      <w:lvlJc w:val="left"/>
      <w:pPr>
        <w:ind w:left="7750" w:hanging="360"/>
      </w:pPr>
      <w:rPr>
        <w:rFonts w:hint="default"/>
        <w:lang w:val="es-ES" w:eastAsia="en-US" w:bidi="ar-SA"/>
      </w:rPr>
    </w:lvl>
    <w:lvl w:ilvl="8">
      <w:start w:val="0"/>
      <w:numFmt w:val="bullet"/>
      <w:lvlText w:val="•"/>
      <w:lvlJc w:val="left"/>
      <w:pPr>
        <w:ind w:left="8720" w:hanging="360"/>
      </w:pPr>
      <w:rPr>
        <w:rFonts w:hint="default"/>
        <w:lang w:val="es-ES" w:eastAsia="en-US" w:bidi="ar-SA"/>
      </w:rPr>
    </w:lvl>
  </w:abstractNum>
  <w:abstractNum w:abstractNumId="57">
    <w:multiLevelType w:val="hybridMultilevel"/>
    <w:lvl w:ilvl="0">
      <w:start w:val="5"/>
      <w:numFmt w:val="decimal"/>
      <w:lvlText w:val="%1"/>
      <w:lvlJc w:val="left"/>
      <w:pPr>
        <w:ind w:left="943" w:hanging="704"/>
        <w:jc w:val="left"/>
      </w:pPr>
      <w:rPr>
        <w:rFonts w:hint="default"/>
        <w:lang w:val="es-ES" w:eastAsia="en-US" w:bidi="ar-SA"/>
      </w:rPr>
    </w:lvl>
    <w:lvl w:ilvl="1">
      <w:start w:val="1"/>
      <w:numFmt w:val="decimal"/>
      <w:lvlText w:val="%1.%2"/>
      <w:lvlJc w:val="left"/>
      <w:pPr>
        <w:ind w:left="943" w:hanging="704"/>
        <w:jc w:val="left"/>
      </w:pPr>
      <w:rPr>
        <w:rFonts w:hint="default"/>
        <w:b/>
        <w:bCs/>
        <w:w w:val="99"/>
        <w:lang w:val="es-ES" w:eastAsia="en-US" w:bidi="ar-SA"/>
      </w:rPr>
    </w:lvl>
    <w:lvl w:ilvl="2">
      <w:start w:val="0"/>
      <w:numFmt w:val="bullet"/>
      <w:lvlText w:val="•"/>
      <w:lvlJc w:val="left"/>
      <w:pPr>
        <w:ind w:left="959" w:hanging="360"/>
      </w:pPr>
      <w:rPr>
        <w:rFonts w:hint="default" w:ascii="Verdana" w:hAnsi="Verdana" w:eastAsia="Verdana" w:cs="Verdana"/>
        <w:w w:val="99"/>
        <w:sz w:val="20"/>
        <w:szCs w:val="20"/>
        <w:lang w:val="es-ES" w:eastAsia="en-US" w:bidi="ar-SA"/>
      </w:rPr>
    </w:lvl>
    <w:lvl w:ilvl="3">
      <w:start w:val="0"/>
      <w:numFmt w:val="bullet"/>
      <w:lvlText w:val="•"/>
      <w:lvlJc w:val="left"/>
      <w:pPr>
        <w:ind w:left="3115" w:hanging="360"/>
      </w:pPr>
      <w:rPr>
        <w:rFonts w:hint="default"/>
        <w:lang w:val="es-ES" w:eastAsia="en-US" w:bidi="ar-SA"/>
      </w:rPr>
    </w:lvl>
    <w:lvl w:ilvl="4">
      <w:start w:val="0"/>
      <w:numFmt w:val="bullet"/>
      <w:lvlText w:val="•"/>
      <w:lvlJc w:val="left"/>
      <w:pPr>
        <w:ind w:left="4193" w:hanging="360"/>
      </w:pPr>
      <w:rPr>
        <w:rFonts w:hint="default"/>
        <w:lang w:val="es-ES" w:eastAsia="en-US" w:bidi="ar-SA"/>
      </w:rPr>
    </w:lvl>
    <w:lvl w:ilvl="5">
      <w:start w:val="0"/>
      <w:numFmt w:val="bullet"/>
      <w:lvlText w:val="•"/>
      <w:lvlJc w:val="left"/>
      <w:pPr>
        <w:ind w:left="5271" w:hanging="360"/>
      </w:pPr>
      <w:rPr>
        <w:rFonts w:hint="default"/>
        <w:lang w:val="es-ES" w:eastAsia="en-US" w:bidi="ar-SA"/>
      </w:rPr>
    </w:lvl>
    <w:lvl w:ilvl="6">
      <w:start w:val="0"/>
      <w:numFmt w:val="bullet"/>
      <w:lvlText w:val="•"/>
      <w:lvlJc w:val="left"/>
      <w:pPr>
        <w:ind w:left="6348" w:hanging="360"/>
      </w:pPr>
      <w:rPr>
        <w:rFonts w:hint="default"/>
        <w:lang w:val="es-ES" w:eastAsia="en-US" w:bidi="ar-SA"/>
      </w:rPr>
    </w:lvl>
    <w:lvl w:ilvl="7">
      <w:start w:val="0"/>
      <w:numFmt w:val="bullet"/>
      <w:lvlText w:val="•"/>
      <w:lvlJc w:val="left"/>
      <w:pPr>
        <w:ind w:left="7426" w:hanging="360"/>
      </w:pPr>
      <w:rPr>
        <w:rFonts w:hint="default"/>
        <w:lang w:val="es-ES" w:eastAsia="en-US" w:bidi="ar-SA"/>
      </w:rPr>
    </w:lvl>
    <w:lvl w:ilvl="8">
      <w:start w:val="0"/>
      <w:numFmt w:val="bullet"/>
      <w:lvlText w:val="•"/>
      <w:lvlJc w:val="left"/>
      <w:pPr>
        <w:ind w:left="8504" w:hanging="360"/>
      </w:pPr>
      <w:rPr>
        <w:rFonts w:hint="default"/>
        <w:lang w:val="es-ES" w:eastAsia="en-US" w:bidi="ar-SA"/>
      </w:rPr>
    </w:lvl>
  </w:abstractNum>
  <w:abstractNum w:abstractNumId="56">
    <w:multiLevelType w:val="hybridMultilevel"/>
    <w:lvl w:ilvl="0">
      <w:start w:val="1"/>
      <w:numFmt w:val="lowerLetter"/>
      <w:lvlText w:val="%1."/>
      <w:lvlJc w:val="left"/>
      <w:pPr>
        <w:ind w:left="1679" w:hanging="360"/>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2578" w:hanging="360"/>
      </w:pPr>
      <w:rPr>
        <w:rFonts w:hint="default"/>
        <w:lang w:val="es-ES" w:eastAsia="en-US" w:bidi="ar-SA"/>
      </w:rPr>
    </w:lvl>
    <w:lvl w:ilvl="2">
      <w:start w:val="0"/>
      <w:numFmt w:val="bullet"/>
      <w:lvlText w:val="•"/>
      <w:lvlJc w:val="left"/>
      <w:pPr>
        <w:ind w:left="3476" w:hanging="360"/>
      </w:pPr>
      <w:rPr>
        <w:rFonts w:hint="default"/>
        <w:lang w:val="es-ES" w:eastAsia="en-US" w:bidi="ar-SA"/>
      </w:rPr>
    </w:lvl>
    <w:lvl w:ilvl="3">
      <w:start w:val="0"/>
      <w:numFmt w:val="bullet"/>
      <w:lvlText w:val="•"/>
      <w:lvlJc w:val="left"/>
      <w:pPr>
        <w:ind w:left="4374" w:hanging="360"/>
      </w:pPr>
      <w:rPr>
        <w:rFonts w:hint="default"/>
        <w:lang w:val="es-ES" w:eastAsia="en-US" w:bidi="ar-SA"/>
      </w:rPr>
    </w:lvl>
    <w:lvl w:ilvl="4">
      <w:start w:val="0"/>
      <w:numFmt w:val="bullet"/>
      <w:lvlText w:val="•"/>
      <w:lvlJc w:val="left"/>
      <w:pPr>
        <w:ind w:left="5272" w:hanging="360"/>
      </w:pPr>
      <w:rPr>
        <w:rFonts w:hint="default"/>
        <w:lang w:val="es-ES" w:eastAsia="en-US" w:bidi="ar-SA"/>
      </w:rPr>
    </w:lvl>
    <w:lvl w:ilvl="5">
      <w:start w:val="0"/>
      <w:numFmt w:val="bullet"/>
      <w:lvlText w:val="•"/>
      <w:lvlJc w:val="left"/>
      <w:pPr>
        <w:ind w:left="6170" w:hanging="360"/>
      </w:pPr>
      <w:rPr>
        <w:rFonts w:hint="default"/>
        <w:lang w:val="es-ES" w:eastAsia="en-US" w:bidi="ar-SA"/>
      </w:rPr>
    </w:lvl>
    <w:lvl w:ilvl="6">
      <w:start w:val="0"/>
      <w:numFmt w:val="bullet"/>
      <w:lvlText w:val="•"/>
      <w:lvlJc w:val="left"/>
      <w:pPr>
        <w:ind w:left="7068" w:hanging="360"/>
      </w:pPr>
      <w:rPr>
        <w:rFonts w:hint="default"/>
        <w:lang w:val="es-ES" w:eastAsia="en-US" w:bidi="ar-SA"/>
      </w:rPr>
    </w:lvl>
    <w:lvl w:ilvl="7">
      <w:start w:val="0"/>
      <w:numFmt w:val="bullet"/>
      <w:lvlText w:val="•"/>
      <w:lvlJc w:val="left"/>
      <w:pPr>
        <w:ind w:left="7966" w:hanging="360"/>
      </w:pPr>
      <w:rPr>
        <w:rFonts w:hint="default"/>
        <w:lang w:val="es-ES" w:eastAsia="en-US" w:bidi="ar-SA"/>
      </w:rPr>
    </w:lvl>
    <w:lvl w:ilvl="8">
      <w:start w:val="0"/>
      <w:numFmt w:val="bullet"/>
      <w:lvlText w:val="•"/>
      <w:lvlJc w:val="left"/>
      <w:pPr>
        <w:ind w:left="8864" w:hanging="360"/>
      </w:pPr>
      <w:rPr>
        <w:rFonts w:hint="default"/>
        <w:lang w:val="es-ES" w:eastAsia="en-US" w:bidi="ar-SA"/>
      </w:rPr>
    </w:lvl>
  </w:abstractNum>
  <w:abstractNum w:abstractNumId="55">
    <w:multiLevelType w:val="hybridMultilevel"/>
    <w:lvl w:ilvl="0">
      <w:start w:val="1"/>
      <w:numFmt w:val="decimal"/>
      <w:lvlText w:val="%1."/>
      <w:lvlJc w:val="left"/>
      <w:pPr>
        <w:ind w:left="240" w:hanging="293"/>
        <w:jc w:val="left"/>
      </w:pPr>
      <w:rPr>
        <w:rFonts w:hint="default"/>
        <w:w w:val="99"/>
        <w:lang w:val="es-ES" w:eastAsia="en-US" w:bidi="ar-SA"/>
      </w:rPr>
    </w:lvl>
    <w:lvl w:ilvl="1">
      <w:start w:val="0"/>
      <w:numFmt w:val="bullet"/>
      <w:lvlText w:val="•"/>
      <w:lvlJc w:val="left"/>
      <w:pPr>
        <w:ind w:left="1282" w:hanging="293"/>
      </w:pPr>
      <w:rPr>
        <w:rFonts w:hint="default"/>
        <w:lang w:val="es-ES" w:eastAsia="en-US" w:bidi="ar-SA"/>
      </w:rPr>
    </w:lvl>
    <w:lvl w:ilvl="2">
      <w:start w:val="0"/>
      <w:numFmt w:val="bullet"/>
      <w:lvlText w:val="•"/>
      <w:lvlJc w:val="left"/>
      <w:pPr>
        <w:ind w:left="2324" w:hanging="293"/>
      </w:pPr>
      <w:rPr>
        <w:rFonts w:hint="default"/>
        <w:lang w:val="es-ES" w:eastAsia="en-US" w:bidi="ar-SA"/>
      </w:rPr>
    </w:lvl>
    <w:lvl w:ilvl="3">
      <w:start w:val="0"/>
      <w:numFmt w:val="bullet"/>
      <w:lvlText w:val="•"/>
      <w:lvlJc w:val="left"/>
      <w:pPr>
        <w:ind w:left="3366" w:hanging="293"/>
      </w:pPr>
      <w:rPr>
        <w:rFonts w:hint="default"/>
        <w:lang w:val="es-ES" w:eastAsia="en-US" w:bidi="ar-SA"/>
      </w:rPr>
    </w:lvl>
    <w:lvl w:ilvl="4">
      <w:start w:val="0"/>
      <w:numFmt w:val="bullet"/>
      <w:lvlText w:val="•"/>
      <w:lvlJc w:val="left"/>
      <w:pPr>
        <w:ind w:left="4408" w:hanging="293"/>
      </w:pPr>
      <w:rPr>
        <w:rFonts w:hint="default"/>
        <w:lang w:val="es-ES" w:eastAsia="en-US" w:bidi="ar-SA"/>
      </w:rPr>
    </w:lvl>
    <w:lvl w:ilvl="5">
      <w:start w:val="0"/>
      <w:numFmt w:val="bullet"/>
      <w:lvlText w:val="•"/>
      <w:lvlJc w:val="left"/>
      <w:pPr>
        <w:ind w:left="5450" w:hanging="293"/>
      </w:pPr>
      <w:rPr>
        <w:rFonts w:hint="default"/>
        <w:lang w:val="es-ES" w:eastAsia="en-US" w:bidi="ar-SA"/>
      </w:rPr>
    </w:lvl>
    <w:lvl w:ilvl="6">
      <w:start w:val="0"/>
      <w:numFmt w:val="bullet"/>
      <w:lvlText w:val="•"/>
      <w:lvlJc w:val="left"/>
      <w:pPr>
        <w:ind w:left="6492" w:hanging="293"/>
      </w:pPr>
      <w:rPr>
        <w:rFonts w:hint="default"/>
        <w:lang w:val="es-ES" w:eastAsia="en-US" w:bidi="ar-SA"/>
      </w:rPr>
    </w:lvl>
    <w:lvl w:ilvl="7">
      <w:start w:val="0"/>
      <w:numFmt w:val="bullet"/>
      <w:lvlText w:val="•"/>
      <w:lvlJc w:val="left"/>
      <w:pPr>
        <w:ind w:left="7534" w:hanging="293"/>
      </w:pPr>
      <w:rPr>
        <w:rFonts w:hint="default"/>
        <w:lang w:val="es-ES" w:eastAsia="en-US" w:bidi="ar-SA"/>
      </w:rPr>
    </w:lvl>
    <w:lvl w:ilvl="8">
      <w:start w:val="0"/>
      <w:numFmt w:val="bullet"/>
      <w:lvlText w:val="•"/>
      <w:lvlJc w:val="left"/>
      <w:pPr>
        <w:ind w:left="8576" w:hanging="293"/>
      </w:pPr>
      <w:rPr>
        <w:rFonts w:hint="default"/>
        <w:lang w:val="es-ES" w:eastAsia="en-US" w:bidi="ar-SA"/>
      </w:rPr>
    </w:lvl>
  </w:abstractNum>
  <w:abstractNum w:abstractNumId="54">
    <w:multiLevelType w:val="hybridMultilevel"/>
    <w:lvl w:ilvl="0">
      <w:start w:val="0"/>
      <w:numFmt w:val="bullet"/>
      <w:lvlText w:val=""/>
      <w:lvlJc w:val="left"/>
      <w:pPr>
        <w:ind w:left="600" w:hanging="360"/>
      </w:pPr>
      <w:rPr>
        <w:rFonts w:hint="default" w:ascii="Symbol" w:hAnsi="Symbol" w:eastAsia="Symbol" w:cs="Symbol"/>
        <w:w w:val="99"/>
        <w:sz w:val="23"/>
        <w:szCs w:val="23"/>
        <w:lang w:val="es-ES" w:eastAsia="en-US" w:bidi="ar-SA"/>
      </w:rPr>
    </w:lvl>
    <w:lvl w:ilvl="1">
      <w:start w:val="0"/>
      <w:numFmt w:val="bullet"/>
      <w:lvlText w:val="o"/>
      <w:lvlJc w:val="left"/>
      <w:pPr>
        <w:ind w:left="960" w:hanging="360"/>
      </w:pPr>
      <w:rPr>
        <w:rFonts w:hint="default" w:ascii="Courier New" w:hAnsi="Courier New" w:eastAsia="Courier New" w:cs="Courier New"/>
        <w:w w:val="99"/>
        <w:sz w:val="23"/>
        <w:szCs w:val="23"/>
        <w:lang w:val="es-ES" w:eastAsia="en-US" w:bidi="ar-SA"/>
      </w:rPr>
    </w:lvl>
    <w:lvl w:ilvl="2">
      <w:start w:val="0"/>
      <w:numFmt w:val="bullet"/>
      <w:lvlText w:val=""/>
      <w:lvlJc w:val="left"/>
      <w:pPr>
        <w:ind w:left="1411" w:hanging="452"/>
      </w:pPr>
      <w:rPr>
        <w:rFonts w:hint="default" w:ascii="Wingdings" w:hAnsi="Wingdings" w:eastAsia="Wingdings" w:cs="Wingdings"/>
        <w:w w:val="99"/>
        <w:sz w:val="23"/>
        <w:szCs w:val="23"/>
        <w:lang w:val="es-ES" w:eastAsia="en-US" w:bidi="ar-SA"/>
      </w:rPr>
    </w:lvl>
    <w:lvl w:ilvl="3">
      <w:start w:val="0"/>
      <w:numFmt w:val="bullet"/>
      <w:lvlText w:val="•"/>
      <w:lvlJc w:val="left"/>
      <w:pPr>
        <w:ind w:left="1420" w:hanging="452"/>
      </w:pPr>
      <w:rPr>
        <w:rFonts w:hint="default"/>
        <w:lang w:val="es-ES" w:eastAsia="en-US" w:bidi="ar-SA"/>
      </w:rPr>
    </w:lvl>
    <w:lvl w:ilvl="4">
      <w:start w:val="0"/>
      <w:numFmt w:val="bullet"/>
      <w:lvlText w:val="•"/>
      <w:lvlJc w:val="left"/>
      <w:pPr>
        <w:ind w:left="2740" w:hanging="452"/>
      </w:pPr>
      <w:rPr>
        <w:rFonts w:hint="default"/>
        <w:lang w:val="es-ES" w:eastAsia="en-US" w:bidi="ar-SA"/>
      </w:rPr>
    </w:lvl>
    <w:lvl w:ilvl="5">
      <w:start w:val="0"/>
      <w:numFmt w:val="bullet"/>
      <w:lvlText w:val="•"/>
      <w:lvlJc w:val="left"/>
      <w:pPr>
        <w:ind w:left="4060" w:hanging="452"/>
      </w:pPr>
      <w:rPr>
        <w:rFonts w:hint="default"/>
        <w:lang w:val="es-ES" w:eastAsia="en-US" w:bidi="ar-SA"/>
      </w:rPr>
    </w:lvl>
    <w:lvl w:ilvl="6">
      <w:start w:val="0"/>
      <w:numFmt w:val="bullet"/>
      <w:lvlText w:val="•"/>
      <w:lvlJc w:val="left"/>
      <w:pPr>
        <w:ind w:left="5380" w:hanging="452"/>
      </w:pPr>
      <w:rPr>
        <w:rFonts w:hint="default"/>
        <w:lang w:val="es-ES" w:eastAsia="en-US" w:bidi="ar-SA"/>
      </w:rPr>
    </w:lvl>
    <w:lvl w:ilvl="7">
      <w:start w:val="0"/>
      <w:numFmt w:val="bullet"/>
      <w:lvlText w:val="•"/>
      <w:lvlJc w:val="left"/>
      <w:pPr>
        <w:ind w:left="6700" w:hanging="452"/>
      </w:pPr>
      <w:rPr>
        <w:rFonts w:hint="default"/>
        <w:lang w:val="es-ES" w:eastAsia="en-US" w:bidi="ar-SA"/>
      </w:rPr>
    </w:lvl>
    <w:lvl w:ilvl="8">
      <w:start w:val="0"/>
      <w:numFmt w:val="bullet"/>
      <w:lvlText w:val="•"/>
      <w:lvlJc w:val="left"/>
      <w:pPr>
        <w:ind w:left="8020" w:hanging="452"/>
      </w:pPr>
      <w:rPr>
        <w:rFonts w:hint="default"/>
        <w:lang w:val="es-ES" w:eastAsia="en-US" w:bidi="ar-SA"/>
      </w:rPr>
    </w:lvl>
  </w:abstractNum>
  <w:abstractNum w:abstractNumId="53">
    <w:multiLevelType w:val="hybridMultilevel"/>
    <w:lvl w:ilvl="0">
      <w:start w:val="4"/>
      <w:numFmt w:val="decimal"/>
      <w:lvlText w:val="%1"/>
      <w:lvlJc w:val="left"/>
      <w:pPr>
        <w:ind w:left="1319" w:hanging="867"/>
        <w:jc w:val="left"/>
      </w:pPr>
      <w:rPr>
        <w:rFonts w:hint="default"/>
        <w:lang w:val="es-ES" w:eastAsia="en-US" w:bidi="ar-SA"/>
      </w:rPr>
    </w:lvl>
    <w:lvl w:ilvl="1">
      <w:start w:val="1"/>
      <w:numFmt w:val="decimal"/>
      <w:lvlText w:val="%1.%2"/>
      <w:lvlJc w:val="left"/>
      <w:pPr>
        <w:ind w:left="1319" w:hanging="867"/>
        <w:jc w:val="left"/>
      </w:pPr>
      <w:rPr>
        <w:rFonts w:hint="default"/>
        <w:b/>
        <w:bCs/>
        <w:w w:val="99"/>
        <w:lang w:val="es-ES" w:eastAsia="en-US" w:bidi="ar-SA"/>
      </w:rPr>
    </w:lvl>
    <w:lvl w:ilvl="2">
      <w:start w:val="1"/>
      <w:numFmt w:val="lowerLetter"/>
      <w:lvlText w:val="%3."/>
      <w:lvlJc w:val="left"/>
      <w:pPr>
        <w:ind w:left="1679" w:hanging="360"/>
        <w:jc w:val="left"/>
      </w:pPr>
      <w:rPr>
        <w:rFonts w:hint="default" w:ascii="Tahoma" w:hAnsi="Tahoma" w:eastAsia="Tahoma" w:cs="Tahoma"/>
        <w:spacing w:val="-1"/>
        <w:w w:val="99"/>
        <w:sz w:val="23"/>
        <w:szCs w:val="23"/>
        <w:lang w:val="es-ES" w:eastAsia="en-US" w:bidi="ar-SA"/>
      </w:rPr>
    </w:lvl>
    <w:lvl w:ilvl="3">
      <w:start w:val="0"/>
      <w:numFmt w:val="bullet"/>
      <w:lvlText w:val="•"/>
      <w:lvlJc w:val="left"/>
      <w:pPr>
        <w:ind w:left="3675" w:hanging="360"/>
      </w:pPr>
      <w:rPr>
        <w:rFonts w:hint="default"/>
        <w:lang w:val="es-ES" w:eastAsia="en-US" w:bidi="ar-SA"/>
      </w:rPr>
    </w:lvl>
    <w:lvl w:ilvl="4">
      <w:start w:val="0"/>
      <w:numFmt w:val="bullet"/>
      <w:lvlText w:val="•"/>
      <w:lvlJc w:val="left"/>
      <w:pPr>
        <w:ind w:left="4673" w:hanging="360"/>
      </w:pPr>
      <w:rPr>
        <w:rFonts w:hint="default"/>
        <w:lang w:val="es-ES" w:eastAsia="en-US" w:bidi="ar-SA"/>
      </w:rPr>
    </w:lvl>
    <w:lvl w:ilvl="5">
      <w:start w:val="0"/>
      <w:numFmt w:val="bullet"/>
      <w:lvlText w:val="•"/>
      <w:lvlJc w:val="left"/>
      <w:pPr>
        <w:ind w:left="5671" w:hanging="360"/>
      </w:pPr>
      <w:rPr>
        <w:rFonts w:hint="default"/>
        <w:lang w:val="es-ES" w:eastAsia="en-US" w:bidi="ar-SA"/>
      </w:rPr>
    </w:lvl>
    <w:lvl w:ilvl="6">
      <w:start w:val="0"/>
      <w:numFmt w:val="bullet"/>
      <w:lvlText w:val="•"/>
      <w:lvlJc w:val="left"/>
      <w:pPr>
        <w:ind w:left="6668" w:hanging="360"/>
      </w:pPr>
      <w:rPr>
        <w:rFonts w:hint="default"/>
        <w:lang w:val="es-ES" w:eastAsia="en-US" w:bidi="ar-SA"/>
      </w:rPr>
    </w:lvl>
    <w:lvl w:ilvl="7">
      <w:start w:val="0"/>
      <w:numFmt w:val="bullet"/>
      <w:lvlText w:val="•"/>
      <w:lvlJc w:val="left"/>
      <w:pPr>
        <w:ind w:left="7666" w:hanging="360"/>
      </w:pPr>
      <w:rPr>
        <w:rFonts w:hint="default"/>
        <w:lang w:val="es-ES" w:eastAsia="en-US" w:bidi="ar-SA"/>
      </w:rPr>
    </w:lvl>
    <w:lvl w:ilvl="8">
      <w:start w:val="0"/>
      <w:numFmt w:val="bullet"/>
      <w:lvlText w:val="•"/>
      <w:lvlJc w:val="left"/>
      <w:pPr>
        <w:ind w:left="8664" w:hanging="360"/>
      </w:pPr>
      <w:rPr>
        <w:rFonts w:hint="default"/>
        <w:lang w:val="es-ES" w:eastAsia="en-US" w:bidi="ar-SA"/>
      </w:rPr>
    </w:lvl>
  </w:abstractNum>
  <w:abstractNum w:abstractNumId="52">
    <w:multiLevelType w:val="hybridMultilevel"/>
    <w:lvl w:ilvl="0">
      <w:start w:val="1"/>
      <w:numFmt w:val="decimal"/>
      <w:lvlText w:val="%1."/>
      <w:lvlJc w:val="left"/>
      <w:pPr>
        <w:ind w:left="600" w:hanging="360"/>
        <w:jc w:val="left"/>
      </w:pPr>
      <w:rPr>
        <w:rFonts w:hint="default"/>
        <w:spacing w:val="-1"/>
        <w:w w:val="99"/>
        <w:lang w:val="es-ES" w:eastAsia="en-US" w:bidi="ar-SA"/>
      </w:rPr>
    </w:lvl>
    <w:lvl w:ilvl="1">
      <w:start w:val="0"/>
      <w:numFmt w:val="bullet"/>
      <w:lvlText w:val="•"/>
      <w:lvlJc w:val="left"/>
      <w:pPr>
        <w:ind w:left="1606" w:hanging="360"/>
      </w:pPr>
      <w:rPr>
        <w:rFonts w:hint="default"/>
        <w:lang w:val="es-ES" w:eastAsia="en-US" w:bidi="ar-SA"/>
      </w:rPr>
    </w:lvl>
    <w:lvl w:ilvl="2">
      <w:start w:val="0"/>
      <w:numFmt w:val="bullet"/>
      <w:lvlText w:val="•"/>
      <w:lvlJc w:val="left"/>
      <w:pPr>
        <w:ind w:left="2612" w:hanging="360"/>
      </w:pPr>
      <w:rPr>
        <w:rFonts w:hint="default"/>
        <w:lang w:val="es-ES" w:eastAsia="en-US" w:bidi="ar-SA"/>
      </w:rPr>
    </w:lvl>
    <w:lvl w:ilvl="3">
      <w:start w:val="0"/>
      <w:numFmt w:val="bullet"/>
      <w:lvlText w:val="•"/>
      <w:lvlJc w:val="left"/>
      <w:pPr>
        <w:ind w:left="3618" w:hanging="360"/>
      </w:pPr>
      <w:rPr>
        <w:rFonts w:hint="default"/>
        <w:lang w:val="es-ES" w:eastAsia="en-US" w:bidi="ar-SA"/>
      </w:rPr>
    </w:lvl>
    <w:lvl w:ilvl="4">
      <w:start w:val="0"/>
      <w:numFmt w:val="bullet"/>
      <w:lvlText w:val="•"/>
      <w:lvlJc w:val="left"/>
      <w:pPr>
        <w:ind w:left="4624" w:hanging="360"/>
      </w:pPr>
      <w:rPr>
        <w:rFonts w:hint="default"/>
        <w:lang w:val="es-ES" w:eastAsia="en-US" w:bidi="ar-SA"/>
      </w:rPr>
    </w:lvl>
    <w:lvl w:ilvl="5">
      <w:start w:val="0"/>
      <w:numFmt w:val="bullet"/>
      <w:lvlText w:val="•"/>
      <w:lvlJc w:val="left"/>
      <w:pPr>
        <w:ind w:left="5630" w:hanging="360"/>
      </w:pPr>
      <w:rPr>
        <w:rFonts w:hint="default"/>
        <w:lang w:val="es-ES" w:eastAsia="en-US" w:bidi="ar-SA"/>
      </w:rPr>
    </w:lvl>
    <w:lvl w:ilvl="6">
      <w:start w:val="0"/>
      <w:numFmt w:val="bullet"/>
      <w:lvlText w:val="•"/>
      <w:lvlJc w:val="left"/>
      <w:pPr>
        <w:ind w:left="6636" w:hanging="360"/>
      </w:pPr>
      <w:rPr>
        <w:rFonts w:hint="default"/>
        <w:lang w:val="es-ES" w:eastAsia="en-US" w:bidi="ar-SA"/>
      </w:rPr>
    </w:lvl>
    <w:lvl w:ilvl="7">
      <w:start w:val="0"/>
      <w:numFmt w:val="bullet"/>
      <w:lvlText w:val="•"/>
      <w:lvlJc w:val="left"/>
      <w:pPr>
        <w:ind w:left="7642" w:hanging="360"/>
      </w:pPr>
      <w:rPr>
        <w:rFonts w:hint="default"/>
        <w:lang w:val="es-ES" w:eastAsia="en-US" w:bidi="ar-SA"/>
      </w:rPr>
    </w:lvl>
    <w:lvl w:ilvl="8">
      <w:start w:val="0"/>
      <w:numFmt w:val="bullet"/>
      <w:lvlText w:val="•"/>
      <w:lvlJc w:val="left"/>
      <w:pPr>
        <w:ind w:left="8648" w:hanging="360"/>
      </w:pPr>
      <w:rPr>
        <w:rFonts w:hint="default"/>
        <w:lang w:val="es-ES" w:eastAsia="en-US" w:bidi="ar-SA"/>
      </w:rPr>
    </w:lvl>
  </w:abstractNum>
  <w:abstractNum w:abstractNumId="51">
    <w:multiLevelType w:val="hybridMultilevel"/>
    <w:lvl w:ilvl="0">
      <w:start w:val="3"/>
      <w:numFmt w:val="decimal"/>
      <w:lvlText w:val="%1."/>
      <w:lvlJc w:val="left"/>
      <w:pPr>
        <w:ind w:left="240" w:hanging="310"/>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101" w:hanging="157"/>
      </w:pPr>
      <w:rPr>
        <w:rFonts w:hint="default" w:ascii="Tahoma" w:hAnsi="Tahoma" w:eastAsia="Tahoma" w:cs="Tahoma"/>
        <w:w w:val="100"/>
        <w:sz w:val="23"/>
        <w:szCs w:val="23"/>
        <w:lang w:val="es-ES" w:eastAsia="en-US" w:bidi="ar-SA"/>
      </w:rPr>
    </w:lvl>
    <w:lvl w:ilvl="2">
      <w:start w:val="0"/>
      <w:numFmt w:val="bullet"/>
      <w:lvlText w:val="•"/>
      <w:lvlJc w:val="left"/>
      <w:pPr>
        <w:ind w:left="2162" w:hanging="157"/>
      </w:pPr>
      <w:rPr>
        <w:rFonts w:hint="default"/>
        <w:lang w:val="es-ES" w:eastAsia="en-US" w:bidi="ar-SA"/>
      </w:rPr>
    </w:lvl>
    <w:lvl w:ilvl="3">
      <w:start w:val="0"/>
      <w:numFmt w:val="bullet"/>
      <w:lvlText w:val="•"/>
      <w:lvlJc w:val="left"/>
      <w:pPr>
        <w:ind w:left="3224" w:hanging="157"/>
      </w:pPr>
      <w:rPr>
        <w:rFonts w:hint="default"/>
        <w:lang w:val="es-ES" w:eastAsia="en-US" w:bidi="ar-SA"/>
      </w:rPr>
    </w:lvl>
    <w:lvl w:ilvl="4">
      <w:start w:val="0"/>
      <w:numFmt w:val="bullet"/>
      <w:lvlText w:val="•"/>
      <w:lvlJc w:val="left"/>
      <w:pPr>
        <w:ind w:left="4286" w:hanging="157"/>
      </w:pPr>
      <w:rPr>
        <w:rFonts w:hint="default"/>
        <w:lang w:val="es-ES" w:eastAsia="en-US" w:bidi="ar-SA"/>
      </w:rPr>
    </w:lvl>
    <w:lvl w:ilvl="5">
      <w:start w:val="0"/>
      <w:numFmt w:val="bullet"/>
      <w:lvlText w:val="•"/>
      <w:lvlJc w:val="left"/>
      <w:pPr>
        <w:ind w:left="5348" w:hanging="157"/>
      </w:pPr>
      <w:rPr>
        <w:rFonts w:hint="default"/>
        <w:lang w:val="es-ES" w:eastAsia="en-US" w:bidi="ar-SA"/>
      </w:rPr>
    </w:lvl>
    <w:lvl w:ilvl="6">
      <w:start w:val="0"/>
      <w:numFmt w:val="bullet"/>
      <w:lvlText w:val="•"/>
      <w:lvlJc w:val="left"/>
      <w:pPr>
        <w:ind w:left="6411" w:hanging="157"/>
      </w:pPr>
      <w:rPr>
        <w:rFonts w:hint="default"/>
        <w:lang w:val="es-ES" w:eastAsia="en-US" w:bidi="ar-SA"/>
      </w:rPr>
    </w:lvl>
    <w:lvl w:ilvl="7">
      <w:start w:val="0"/>
      <w:numFmt w:val="bullet"/>
      <w:lvlText w:val="•"/>
      <w:lvlJc w:val="left"/>
      <w:pPr>
        <w:ind w:left="7473" w:hanging="157"/>
      </w:pPr>
      <w:rPr>
        <w:rFonts w:hint="default"/>
        <w:lang w:val="es-ES" w:eastAsia="en-US" w:bidi="ar-SA"/>
      </w:rPr>
    </w:lvl>
    <w:lvl w:ilvl="8">
      <w:start w:val="0"/>
      <w:numFmt w:val="bullet"/>
      <w:lvlText w:val="•"/>
      <w:lvlJc w:val="left"/>
      <w:pPr>
        <w:ind w:left="8535" w:hanging="157"/>
      </w:pPr>
      <w:rPr>
        <w:rFonts w:hint="default"/>
        <w:lang w:val="es-ES" w:eastAsia="en-US" w:bidi="ar-SA"/>
      </w:rPr>
    </w:lvl>
  </w:abstractNum>
  <w:abstractNum w:abstractNumId="50">
    <w:multiLevelType w:val="hybridMultilevel"/>
    <w:lvl w:ilvl="0">
      <w:start w:val="1"/>
      <w:numFmt w:val="decimal"/>
      <w:lvlText w:val="%1."/>
      <w:lvlJc w:val="left"/>
      <w:pPr>
        <w:ind w:left="506" w:hanging="267"/>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101" w:hanging="157"/>
      </w:pPr>
      <w:rPr>
        <w:rFonts w:hint="default" w:ascii="Tahoma" w:hAnsi="Tahoma" w:eastAsia="Tahoma" w:cs="Tahoma"/>
        <w:w w:val="100"/>
        <w:sz w:val="23"/>
        <w:szCs w:val="23"/>
        <w:lang w:val="es-ES" w:eastAsia="en-US" w:bidi="ar-SA"/>
      </w:rPr>
    </w:lvl>
    <w:lvl w:ilvl="2">
      <w:start w:val="0"/>
      <w:numFmt w:val="bullet"/>
      <w:lvlText w:val="•"/>
      <w:lvlJc w:val="left"/>
      <w:pPr>
        <w:ind w:left="2162" w:hanging="157"/>
      </w:pPr>
      <w:rPr>
        <w:rFonts w:hint="default"/>
        <w:lang w:val="es-ES" w:eastAsia="en-US" w:bidi="ar-SA"/>
      </w:rPr>
    </w:lvl>
    <w:lvl w:ilvl="3">
      <w:start w:val="0"/>
      <w:numFmt w:val="bullet"/>
      <w:lvlText w:val="•"/>
      <w:lvlJc w:val="left"/>
      <w:pPr>
        <w:ind w:left="3224" w:hanging="157"/>
      </w:pPr>
      <w:rPr>
        <w:rFonts w:hint="default"/>
        <w:lang w:val="es-ES" w:eastAsia="en-US" w:bidi="ar-SA"/>
      </w:rPr>
    </w:lvl>
    <w:lvl w:ilvl="4">
      <w:start w:val="0"/>
      <w:numFmt w:val="bullet"/>
      <w:lvlText w:val="•"/>
      <w:lvlJc w:val="left"/>
      <w:pPr>
        <w:ind w:left="4286" w:hanging="157"/>
      </w:pPr>
      <w:rPr>
        <w:rFonts w:hint="default"/>
        <w:lang w:val="es-ES" w:eastAsia="en-US" w:bidi="ar-SA"/>
      </w:rPr>
    </w:lvl>
    <w:lvl w:ilvl="5">
      <w:start w:val="0"/>
      <w:numFmt w:val="bullet"/>
      <w:lvlText w:val="•"/>
      <w:lvlJc w:val="left"/>
      <w:pPr>
        <w:ind w:left="5348" w:hanging="157"/>
      </w:pPr>
      <w:rPr>
        <w:rFonts w:hint="default"/>
        <w:lang w:val="es-ES" w:eastAsia="en-US" w:bidi="ar-SA"/>
      </w:rPr>
    </w:lvl>
    <w:lvl w:ilvl="6">
      <w:start w:val="0"/>
      <w:numFmt w:val="bullet"/>
      <w:lvlText w:val="•"/>
      <w:lvlJc w:val="left"/>
      <w:pPr>
        <w:ind w:left="6411" w:hanging="157"/>
      </w:pPr>
      <w:rPr>
        <w:rFonts w:hint="default"/>
        <w:lang w:val="es-ES" w:eastAsia="en-US" w:bidi="ar-SA"/>
      </w:rPr>
    </w:lvl>
    <w:lvl w:ilvl="7">
      <w:start w:val="0"/>
      <w:numFmt w:val="bullet"/>
      <w:lvlText w:val="•"/>
      <w:lvlJc w:val="left"/>
      <w:pPr>
        <w:ind w:left="7473" w:hanging="157"/>
      </w:pPr>
      <w:rPr>
        <w:rFonts w:hint="default"/>
        <w:lang w:val="es-ES" w:eastAsia="en-US" w:bidi="ar-SA"/>
      </w:rPr>
    </w:lvl>
    <w:lvl w:ilvl="8">
      <w:start w:val="0"/>
      <w:numFmt w:val="bullet"/>
      <w:lvlText w:val="•"/>
      <w:lvlJc w:val="left"/>
      <w:pPr>
        <w:ind w:left="8535" w:hanging="157"/>
      </w:pPr>
      <w:rPr>
        <w:rFonts w:hint="default"/>
        <w:lang w:val="es-ES" w:eastAsia="en-US" w:bidi="ar-SA"/>
      </w:rPr>
    </w:lvl>
  </w:abstractNum>
  <w:abstractNum w:abstractNumId="49">
    <w:multiLevelType w:val="hybridMultilevel"/>
    <w:lvl w:ilvl="0">
      <w:start w:val="1"/>
      <w:numFmt w:val="lowerLetter"/>
      <w:lvlText w:val="%1."/>
      <w:lvlJc w:val="left"/>
      <w:pPr>
        <w:ind w:left="691" w:hanging="392"/>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696" w:hanging="392"/>
      </w:pPr>
      <w:rPr>
        <w:rFonts w:hint="default"/>
        <w:lang w:val="es-ES" w:eastAsia="en-US" w:bidi="ar-SA"/>
      </w:rPr>
    </w:lvl>
    <w:lvl w:ilvl="2">
      <w:start w:val="0"/>
      <w:numFmt w:val="bullet"/>
      <w:lvlText w:val="•"/>
      <w:lvlJc w:val="left"/>
      <w:pPr>
        <w:ind w:left="2692" w:hanging="392"/>
      </w:pPr>
      <w:rPr>
        <w:rFonts w:hint="default"/>
        <w:lang w:val="es-ES" w:eastAsia="en-US" w:bidi="ar-SA"/>
      </w:rPr>
    </w:lvl>
    <w:lvl w:ilvl="3">
      <w:start w:val="0"/>
      <w:numFmt w:val="bullet"/>
      <w:lvlText w:val="•"/>
      <w:lvlJc w:val="left"/>
      <w:pPr>
        <w:ind w:left="3688" w:hanging="392"/>
      </w:pPr>
      <w:rPr>
        <w:rFonts w:hint="default"/>
        <w:lang w:val="es-ES" w:eastAsia="en-US" w:bidi="ar-SA"/>
      </w:rPr>
    </w:lvl>
    <w:lvl w:ilvl="4">
      <w:start w:val="0"/>
      <w:numFmt w:val="bullet"/>
      <w:lvlText w:val="•"/>
      <w:lvlJc w:val="left"/>
      <w:pPr>
        <w:ind w:left="4684" w:hanging="392"/>
      </w:pPr>
      <w:rPr>
        <w:rFonts w:hint="default"/>
        <w:lang w:val="es-ES" w:eastAsia="en-US" w:bidi="ar-SA"/>
      </w:rPr>
    </w:lvl>
    <w:lvl w:ilvl="5">
      <w:start w:val="0"/>
      <w:numFmt w:val="bullet"/>
      <w:lvlText w:val="•"/>
      <w:lvlJc w:val="left"/>
      <w:pPr>
        <w:ind w:left="5680" w:hanging="392"/>
      </w:pPr>
      <w:rPr>
        <w:rFonts w:hint="default"/>
        <w:lang w:val="es-ES" w:eastAsia="en-US" w:bidi="ar-SA"/>
      </w:rPr>
    </w:lvl>
    <w:lvl w:ilvl="6">
      <w:start w:val="0"/>
      <w:numFmt w:val="bullet"/>
      <w:lvlText w:val="•"/>
      <w:lvlJc w:val="left"/>
      <w:pPr>
        <w:ind w:left="6676" w:hanging="392"/>
      </w:pPr>
      <w:rPr>
        <w:rFonts w:hint="default"/>
        <w:lang w:val="es-ES" w:eastAsia="en-US" w:bidi="ar-SA"/>
      </w:rPr>
    </w:lvl>
    <w:lvl w:ilvl="7">
      <w:start w:val="0"/>
      <w:numFmt w:val="bullet"/>
      <w:lvlText w:val="•"/>
      <w:lvlJc w:val="left"/>
      <w:pPr>
        <w:ind w:left="7672" w:hanging="392"/>
      </w:pPr>
      <w:rPr>
        <w:rFonts w:hint="default"/>
        <w:lang w:val="es-ES" w:eastAsia="en-US" w:bidi="ar-SA"/>
      </w:rPr>
    </w:lvl>
    <w:lvl w:ilvl="8">
      <w:start w:val="0"/>
      <w:numFmt w:val="bullet"/>
      <w:lvlText w:val="•"/>
      <w:lvlJc w:val="left"/>
      <w:pPr>
        <w:ind w:left="8668" w:hanging="392"/>
      </w:pPr>
      <w:rPr>
        <w:rFonts w:hint="default"/>
        <w:lang w:val="es-ES" w:eastAsia="en-US" w:bidi="ar-SA"/>
      </w:rPr>
    </w:lvl>
  </w:abstractNum>
  <w:abstractNum w:abstractNumId="48">
    <w:multiLevelType w:val="hybridMultilevel"/>
    <w:lvl w:ilvl="0">
      <w:start w:val="1"/>
      <w:numFmt w:val="decimal"/>
      <w:lvlText w:val="%1."/>
      <w:lvlJc w:val="left"/>
      <w:pPr>
        <w:ind w:left="599" w:hanging="360"/>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606" w:hanging="360"/>
      </w:pPr>
      <w:rPr>
        <w:rFonts w:hint="default"/>
        <w:lang w:val="es-ES" w:eastAsia="en-US" w:bidi="ar-SA"/>
      </w:rPr>
    </w:lvl>
    <w:lvl w:ilvl="2">
      <w:start w:val="0"/>
      <w:numFmt w:val="bullet"/>
      <w:lvlText w:val="•"/>
      <w:lvlJc w:val="left"/>
      <w:pPr>
        <w:ind w:left="2612" w:hanging="360"/>
      </w:pPr>
      <w:rPr>
        <w:rFonts w:hint="default"/>
        <w:lang w:val="es-ES" w:eastAsia="en-US" w:bidi="ar-SA"/>
      </w:rPr>
    </w:lvl>
    <w:lvl w:ilvl="3">
      <w:start w:val="0"/>
      <w:numFmt w:val="bullet"/>
      <w:lvlText w:val="•"/>
      <w:lvlJc w:val="left"/>
      <w:pPr>
        <w:ind w:left="3618" w:hanging="360"/>
      </w:pPr>
      <w:rPr>
        <w:rFonts w:hint="default"/>
        <w:lang w:val="es-ES" w:eastAsia="en-US" w:bidi="ar-SA"/>
      </w:rPr>
    </w:lvl>
    <w:lvl w:ilvl="4">
      <w:start w:val="0"/>
      <w:numFmt w:val="bullet"/>
      <w:lvlText w:val="•"/>
      <w:lvlJc w:val="left"/>
      <w:pPr>
        <w:ind w:left="4624" w:hanging="360"/>
      </w:pPr>
      <w:rPr>
        <w:rFonts w:hint="default"/>
        <w:lang w:val="es-ES" w:eastAsia="en-US" w:bidi="ar-SA"/>
      </w:rPr>
    </w:lvl>
    <w:lvl w:ilvl="5">
      <w:start w:val="0"/>
      <w:numFmt w:val="bullet"/>
      <w:lvlText w:val="•"/>
      <w:lvlJc w:val="left"/>
      <w:pPr>
        <w:ind w:left="5630" w:hanging="360"/>
      </w:pPr>
      <w:rPr>
        <w:rFonts w:hint="default"/>
        <w:lang w:val="es-ES" w:eastAsia="en-US" w:bidi="ar-SA"/>
      </w:rPr>
    </w:lvl>
    <w:lvl w:ilvl="6">
      <w:start w:val="0"/>
      <w:numFmt w:val="bullet"/>
      <w:lvlText w:val="•"/>
      <w:lvlJc w:val="left"/>
      <w:pPr>
        <w:ind w:left="6636" w:hanging="360"/>
      </w:pPr>
      <w:rPr>
        <w:rFonts w:hint="default"/>
        <w:lang w:val="es-ES" w:eastAsia="en-US" w:bidi="ar-SA"/>
      </w:rPr>
    </w:lvl>
    <w:lvl w:ilvl="7">
      <w:start w:val="0"/>
      <w:numFmt w:val="bullet"/>
      <w:lvlText w:val="•"/>
      <w:lvlJc w:val="left"/>
      <w:pPr>
        <w:ind w:left="7642" w:hanging="360"/>
      </w:pPr>
      <w:rPr>
        <w:rFonts w:hint="default"/>
        <w:lang w:val="es-ES" w:eastAsia="en-US" w:bidi="ar-SA"/>
      </w:rPr>
    </w:lvl>
    <w:lvl w:ilvl="8">
      <w:start w:val="0"/>
      <w:numFmt w:val="bullet"/>
      <w:lvlText w:val="•"/>
      <w:lvlJc w:val="left"/>
      <w:pPr>
        <w:ind w:left="8648" w:hanging="360"/>
      </w:pPr>
      <w:rPr>
        <w:rFonts w:hint="default"/>
        <w:lang w:val="es-ES" w:eastAsia="en-US" w:bidi="ar-SA"/>
      </w:rPr>
    </w:lvl>
  </w:abstractNum>
  <w:abstractNum w:abstractNumId="47">
    <w:multiLevelType w:val="hybridMultilevel"/>
    <w:lvl w:ilvl="0">
      <w:start w:val="1"/>
      <w:numFmt w:val="decimal"/>
      <w:lvlText w:val="%1."/>
      <w:lvlJc w:val="left"/>
      <w:pPr>
        <w:ind w:left="600" w:hanging="360"/>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606" w:hanging="360"/>
      </w:pPr>
      <w:rPr>
        <w:rFonts w:hint="default"/>
        <w:lang w:val="es-ES" w:eastAsia="en-US" w:bidi="ar-SA"/>
      </w:rPr>
    </w:lvl>
    <w:lvl w:ilvl="2">
      <w:start w:val="0"/>
      <w:numFmt w:val="bullet"/>
      <w:lvlText w:val="•"/>
      <w:lvlJc w:val="left"/>
      <w:pPr>
        <w:ind w:left="2612" w:hanging="360"/>
      </w:pPr>
      <w:rPr>
        <w:rFonts w:hint="default"/>
        <w:lang w:val="es-ES" w:eastAsia="en-US" w:bidi="ar-SA"/>
      </w:rPr>
    </w:lvl>
    <w:lvl w:ilvl="3">
      <w:start w:val="0"/>
      <w:numFmt w:val="bullet"/>
      <w:lvlText w:val="•"/>
      <w:lvlJc w:val="left"/>
      <w:pPr>
        <w:ind w:left="3618" w:hanging="360"/>
      </w:pPr>
      <w:rPr>
        <w:rFonts w:hint="default"/>
        <w:lang w:val="es-ES" w:eastAsia="en-US" w:bidi="ar-SA"/>
      </w:rPr>
    </w:lvl>
    <w:lvl w:ilvl="4">
      <w:start w:val="0"/>
      <w:numFmt w:val="bullet"/>
      <w:lvlText w:val="•"/>
      <w:lvlJc w:val="left"/>
      <w:pPr>
        <w:ind w:left="4624" w:hanging="360"/>
      </w:pPr>
      <w:rPr>
        <w:rFonts w:hint="default"/>
        <w:lang w:val="es-ES" w:eastAsia="en-US" w:bidi="ar-SA"/>
      </w:rPr>
    </w:lvl>
    <w:lvl w:ilvl="5">
      <w:start w:val="0"/>
      <w:numFmt w:val="bullet"/>
      <w:lvlText w:val="•"/>
      <w:lvlJc w:val="left"/>
      <w:pPr>
        <w:ind w:left="5630" w:hanging="360"/>
      </w:pPr>
      <w:rPr>
        <w:rFonts w:hint="default"/>
        <w:lang w:val="es-ES" w:eastAsia="en-US" w:bidi="ar-SA"/>
      </w:rPr>
    </w:lvl>
    <w:lvl w:ilvl="6">
      <w:start w:val="0"/>
      <w:numFmt w:val="bullet"/>
      <w:lvlText w:val="•"/>
      <w:lvlJc w:val="left"/>
      <w:pPr>
        <w:ind w:left="6636" w:hanging="360"/>
      </w:pPr>
      <w:rPr>
        <w:rFonts w:hint="default"/>
        <w:lang w:val="es-ES" w:eastAsia="en-US" w:bidi="ar-SA"/>
      </w:rPr>
    </w:lvl>
    <w:lvl w:ilvl="7">
      <w:start w:val="0"/>
      <w:numFmt w:val="bullet"/>
      <w:lvlText w:val="•"/>
      <w:lvlJc w:val="left"/>
      <w:pPr>
        <w:ind w:left="7642" w:hanging="360"/>
      </w:pPr>
      <w:rPr>
        <w:rFonts w:hint="default"/>
        <w:lang w:val="es-ES" w:eastAsia="en-US" w:bidi="ar-SA"/>
      </w:rPr>
    </w:lvl>
    <w:lvl w:ilvl="8">
      <w:start w:val="0"/>
      <w:numFmt w:val="bullet"/>
      <w:lvlText w:val="•"/>
      <w:lvlJc w:val="left"/>
      <w:pPr>
        <w:ind w:left="8648" w:hanging="360"/>
      </w:pPr>
      <w:rPr>
        <w:rFonts w:hint="default"/>
        <w:lang w:val="es-ES" w:eastAsia="en-US" w:bidi="ar-SA"/>
      </w:rPr>
    </w:lvl>
  </w:abstractNum>
  <w:abstractNum w:abstractNumId="46">
    <w:multiLevelType w:val="hybridMultilevel"/>
    <w:lvl w:ilvl="0">
      <w:start w:val="1"/>
      <w:numFmt w:val="lowerLetter"/>
      <w:lvlText w:val="%1)"/>
      <w:lvlJc w:val="left"/>
      <w:pPr>
        <w:ind w:left="240" w:hanging="308"/>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282" w:hanging="308"/>
      </w:pPr>
      <w:rPr>
        <w:rFonts w:hint="default"/>
        <w:lang w:val="es-ES" w:eastAsia="en-US" w:bidi="ar-SA"/>
      </w:rPr>
    </w:lvl>
    <w:lvl w:ilvl="2">
      <w:start w:val="0"/>
      <w:numFmt w:val="bullet"/>
      <w:lvlText w:val="•"/>
      <w:lvlJc w:val="left"/>
      <w:pPr>
        <w:ind w:left="2324" w:hanging="308"/>
      </w:pPr>
      <w:rPr>
        <w:rFonts w:hint="default"/>
        <w:lang w:val="es-ES" w:eastAsia="en-US" w:bidi="ar-SA"/>
      </w:rPr>
    </w:lvl>
    <w:lvl w:ilvl="3">
      <w:start w:val="0"/>
      <w:numFmt w:val="bullet"/>
      <w:lvlText w:val="•"/>
      <w:lvlJc w:val="left"/>
      <w:pPr>
        <w:ind w:left="3366" w:hanging="308"/>
      </w:pPr>
      <w:rPr>
        <w:rFonts w:hint="default"/>
        <w:lang w:val="es-ES" w:eastAsia="en-US" w:bidi="ar-SA"/>
      </w:rPr>
    </w:lvl>
    <w:lvl w:ilvl="4">
      <w:start w:val="0"/>
      <w:numFmt w:val="bullet"/>
      <w:lvlText w:val="•"/>
      <w:lvlJc w:val="left"/>
      <w:pPr>
        <w:ind w:left="4408" w:hanging="308"/>
      </w:pPr>
      <w:rPr>
        <w:rFonts w:hint="default"/>
        <w:lang w:val="es-ES" w:eastAsia="en-US" w:bidi="ar-SA"/>
      </w:rPr>
    </w:lvl>
    <w:lvl w:ilvl="5">
      <w:start w:val="0"/>
      <w:numFmt w:val="bullet"/>
      <w:lvlText w:val="•"/>
      <w:lvlJc w:val="left"/>
      <w:pPr>
        <w:ind w:left="5450" w:hanging="308"/>
      </w:pPr>
      <w:rPr>
        <w:rFonts w:hint="default"/>
        <w:lang w:val="es-ES" w:eastAsia="en-US" w:bidi="ar-SA"/>
      </w:rPr>
    </w:lvl>
    <w:lvl w:ilvl="6">
      <w:start w:val="0"/>
      <w:numFmt w:val="bullet"/>
      <w:lvlText w:val="•"/>
      <w:lvlJc w:val="left"/>
      <w:pPr>
        <w:ind w:left="6492" w:hanging="308"/>
      </w:pPr>
      <w:rPr>
        <w:rFonts w:hint="default"/>
        <w:lang w:val="es-ES" w:eastAsia="en-US" w:bidi="ar-SA"/>
      </w:rPr>
    </w:lvl>
    <w:lvl w:ilvl="7">
      <w:start w:val="0"/>
      <w:numFmt w:val="bullet"/>
      <w:lvlText w:val="•"/>
      <w:lvlJc w:val="left"/>
      <w:pPr>
        <w:ind w:left="7534" w:hanging="308"/>
      </w:pPr>
      <w:rPr>
        <w:rFonts w:hint="default"/>
        <w:lang w:val="es-ES" w:eastAsia="en-US" w:bidi="ar-SA"/>
      </w:rPr>
    </w:lvl>
    <w:lvl w:ilvl="8">
      <w:start w:val="0"/>
      <w:numFmt w:val="bullet"/>
      <w:lvlText w:val="•"/>
      <w:lvlJc w:val="left"/>
      <w:pPr>
        <w:ind w:left="8576" w:hanging="308"/>
      </w:pPr>
      <w:rPr>
        <w:rFonts w:hint="default"/>
        <w:lang w:val="es-ES" w:eastAsia="en-US" w:bidi="ar-SA"/>
      </w:rPr>
    </w:lvl>
  </w:abstractNum>
  <w:abstractNum w:abstractNumId="45">
    <w:multiLevelType w:val="hybridMultilevel"/>
    <w:lvl w:ilvl="0">
      <w:start w:val="1"/>
      <w:numFmt w:val="decimal"/>
      <w:lvlText w:val="%1."/>
      <w:lvlJc w:val="left"/>
      <w:pPr>
        <w:ind w:left="600" w:hanging="360"/>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606" w:hanging="360"/>
      </w:pPr>
      <w:rPr>
        <w:rFonts w:hint="default"/>
        <w:lang w:val="es-ES" w:eastAsia="en-US" w:bidi="ar-SA"/>
      </w:rPr>
    </w:lvl>
    <w:lvl w:ilvl="2">
      <w:start w:val="0"/>
      <w:numFmt w:val="bullet"/>
      <w:lvlText w:val="•"/>
      <w:lvlJc w:val="left"/>
      <w:pPr>
        <w:ind w:left="2612" w:hanging="360"/>
      </w:pPr>
      <w:rPr>
        <w:rFonts w:hint="default"/>
        <w:lang w:val="es-ES" w:eastAsia="en-US" w:bidi="ar-SA"/>
      </w:rPr>
    </w:lvl>
    <w:lvl w:ilvl="3">
      <w:start w:val="0"/>
      <w:numFmt w:val="bullet"/>
      <w:lvlText w:val="•"/>
      <w:lvlJc w:val="left"/>
      <w:pPr>
        <w:ind w:left="3618" w:hanging="360"/>
      </w:pPr>
      <w:rPr>
        <w:rFonts w:hint="default"/>
        <w:lang w:val="es-ES" w:eastAsia="en-US" w:bidi="ar-SA"/>
      </w:rPr>
    </w:lvl>
    <w:lvl w:ilvl="4">
      <w:start w:val="0"/>
      <w:numFmt w:val="bullet"/>
      <w:lvlText w:val="•"/>
      <w:lvlJc w:val="left"/>
      <w:pPr>
        <w:ind w:left="4624" w:hanging="360"/>
      </w:pPr>
      <w:rPr>
        <w:rFonts w:hint="default"/>
        <w:lang w:val="es-ES" w:eastAsia="en-US" w:bidi="ar-SA"/>
      </w:rPr>
    </w:lvl>
    <w:lvl w:ilvl="5">
      <w:start w:val="0"/>
      <w:numFmt w:val="bullet"/>
      <w:lvlText w:val="•"/>
      <w:lvlJc w:val="left"/>
      <w:pPr>
        <w:ind w:left="5630" w:hanging="360"/>
      </w:pPr>
      <w:rPr>
        <w:rFonts w:hint="default"/>
        <w:lang w:val="es-ES" w:eastAsia="en-US" w:bidi="ar-SA"/>
      </w:rPr>
    </w:lvl>
    <w:lvl w:ilvl="6">
      <w:start w:val="0"/>
      <w:numFmt w:val="bullet"/>
      <w:lvlText w:val="•"/>
      <w:lvlJc w:val="left"/>
      <w:pPr>
        <w:ind w:left="6636" w:hanging="360"/>
      </w:pPr>
      <w:rPr>
        <w:rFonts w:hint="default"/>
        <w:lang w:val="es-ES" w:eastAsia="en-US" w:bidi="ar-SA"/>
      </w:rPr>
    </w:lvl>
    <w:lvl w:ilvl="7">
      <w:start w:val="0"/>
      <w:numFmt w:val="bullet"/>
      <w:lvlText w:val="•"/>
      <w:lvlJc w:val="left"/>
      <w:pPr>
        <w:ind w:left="7642" w:hanging="360"/>
      </w:pPr>
      <w:rPr>
        <w:rFonts w:hint="default"/>
        <w:lang w:val="es-ES" w:eastAsia="en-US" w:bidi="ar-SA"/>
      </w:rPr>
    </w:lvl>
    <w:lvl w:ilvl="8">
      <w:start w:val="0"/>
      <w:numFmt w:val="bullet"/>
      <w:lvlText w:val="•"/>
      <w:lvlJc w:val="left"/>
      <w:pPr>
        <w:ind w:left="8648" w:hanging="360"/>
      </w:pPr>
      <w:rPr>
        <w:rFonts w:hint="default"/>
        <w:lang w:val="es-ES" w:eastAsia="en-US" w:bidi="ar-SA"/>
      </w:rPr>
    </w:lvl>
  </w:abstractNum>
  <w:abstractNum w:abstractNumId="44">
    <w:multiLevelType w:val="hybridMultilevel"/>
    <w:lvl w:ilvl="0">
      <w:start w:val="1"/>
      <w:numFmt w:val="decimal"/>
      <w:lvlText w:val="%1."/>
      <w:lvlJc w:val="left"/>
      <w:pPr>
        <w:ind w:left="600" w:hanging="433"/>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606" w:hanging="433"/>
      </w:pPr>
      <w:rPr>
        <w:rFonts w:hint="default"/>
        <w:lang w:val="es-ES" w:eastAsia="en-US" w:bidi="ar-SA"/>
      </w:rPr>
    </w:lvl>
    <w:lvl w:ilvl="2">
      <w:start w:val="0"/>
      <w:numFmt w:val="bullet"/>
      <w:lvlText w:val="•"/>
      <w:lvlJc w:val="left"/>
      <w:pPr>
        <w:ind w:left="2612" w:hanging="433"/>
      </w:pPr>
      <w:rPr>
        <w:rFonts w:hint="default"/>
        <w:lang w:val="es-ES" w:eastAsia="en-US" w:bidi="ar-SA"/>
      </w:rPr>
    </w:lvl>
    <w:lvl w:ilvl="3">
      <w:start w:val="0"/>
      <w:numFmt w:val="bullet"/>
      <w:lvlText w:val="•"/>
      <w:lvlJc w:val="left"/>
      <w:pPr>
        <w:ind w:left="3618" w:hanging="433"/>
      </w:pPr>
      <w:rPr>
        <w:rFonts w:hint="default"/>
        <w:lang w:val="es-ES" w:eastAsia="en-US" w:bidi="ar-SA"/>
      </w:rPr>
    </w:lvl>
    <w:lvl w:ilvl="4">
      <w:start w:val="0"/>
      <w:numFmt w:val="bullet"/>
      <w:lvlText w:val="•"/>
      <w:lvlJc w:val="left"/>
      <w:pPr>
        <w:ind w:left="4624" w:hanging="433"/>
      </w:pPr>
      <w:rPr>
        <w:rFonts w:hint="default"/>
        <w:lang w:val="es-ES" w:eastAsia="en-US" w:bidi="ar-SA"/>
      </w:rPr>
    </w:lvl>
    <w:lvl w:ilvl="5">
      <w:start w:val="0"/>
      <w:numFmt w:val="bullet"/>
      <w:lvlText w:val="•"/>
      <w:lvlJc w:val="left"/>
      <w:pPr>
        <w:ind w:left="5630" w:hanging="433"/>
      </w:pPr>
      <w:rPr>
        <w:rFonts w:hint="default"/>
        <w:lang w:val="es-ES" w:eastAsia="en-US" w:bidi="ar-SA"/>
      </w:rPr>
    </w:lvl>
    <w:lvl w:ilvl="6">
      <w:start w:val="0"/>
      <w:numFmt w:val="bullet"/>
      <w:lvlText w:val="•"/>
      <w:lvlJc w:val="left"/>
      <w:pPr>
        <w:ind w:left="6636" w:hanging="433"/>
      </w:pPr>
      <w:rPr>
        <w:rFonts w:hint="default"/>
        <w:lang w:val="es-ES" w:eastAsia="en-US" w:bidi="ar-SA"/>
      </w:rPr>
    </w:lvl>
    <w:lvl w:ilvl="7">
      <w:start w:val="0"/>
      <w:numFmt w:val="bullet"/>
      <w:lvlText w:val="•"/>
      <w:lvlJc w:val="left"/>
      <w:pPr>
        <w:ind w:left="7642" w:hanging="433"/>
      </w:pPr>
      <w:rPr>
        <w:rFonts w:hint="default"/>
        <w:lang w:val="es-ES" w:eastAsia="en-US" w:bidi="ar-SA"/>
      </w:rPr>
    </w:lvl>
    <w:lvl w:ilvl="8">
      <w:start w:val="0"/>
      <w:numFmt w:val="bullet"/>
      <w:lvlText w:val="•"/>
      <w:lvlJc w:val="left"/>
      <w:pPr>
        <w:ind w:left="8648" w:hanging="433"/>
      </w:pPr>
      <w:rPr>
        <w:rFonts w:hint="default"/>
        <w:lang w:val="es-ES" w:eastAsia="en-US" w:bidi="ar-SA"/>
      </w:rPr>
    </w:lvl>
  </w:abstractNum>
  <w:abstractNum w:abstractNumId="43">
    <w:multiLevelType w:val="hybridMultilevel"/>
    <w:lvl w:ilvl="0">
      <w:start w:val="1"/>
      <w:numFmt w:val="decimal"/>
      <w:lvlText w:val="%1)"/>
      <w:lvlJc w:val="left"/>
      <w:pPr>
        <w:ind w:left="240" w:hanging="291"/>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282" w:hanging="291"/>
      </w:pPr>
      <w:rPr>
        <w:rFonts w:hint="default"/>
        <w:lang w:val="es-ES" w:eastAsia="en-US" w:bidi="ar-SA"/>
      </w:rPr>
    </w:lvl>
    <w:lvl w:ilvl="2">
      <w:start w:val="0"/>
      <w:numFmt w:val="bullet"/>
      <w:lvlText w:val="•"/>
      <w:lvlJc w:val="left"/>
      <w:pPr>
        <w:ind w:left="2324" w:hanging="291"/>
      </w:pPr>
      <w:rPr>
        <w:rFonts w:hint="default"/>
        <w:lang w:val="es-ES" w:eastAsia="en-US" w:bidi="ar-SA"/>
      </w:rPr>
    </w:lvl>
    <w:lvl w:ilvl="3">
      <w:start w:val="0"/>
      <w:numFmt w:val="bullet"/>
      <w:lvlText w:val="•"/>
      <w:lvlJc w:val="left"/>
      <w:pPr>
        <w:ind w:left="3366" w:hanging="291"/>
      </w:pPr>
      <w:rPr>
        <w:rFonts w:hint="default"/>
        <w:lang w:val="es-ES" w:eastAsia="en-US" w:bidi="ar-SA"/>
      </w:rPr>
    </w:lvl>
    <w:lvl w:ilvl="4">
      <w:start w:val="0"/>
      <w:numFmt w:val="bullet"/>
      <w:lvlText w:val="•"/>
      <w:lvlJc w:val="left"/>
      <w:pPr>
        <w:ind w:left="4408" w:hanging="291"/>
      </w:pPr>
      <w:rPr>
        <w:rFonts w:hint="default"/>
        <w:lang w:val="es-ES" w:eastAsia="en-US" w:bidi="ar-SA"/>
      </w:rPr>
    </w:lvl>
    <w:lvl w:ilvl="5">
      <w:start w:val="0"/>
      <w:numFmt w:val="bullet"/>
      <w:lvlText w:val="•"/>
      <w:lvlJc w:val="left"/>
      <w:pPr>
        <w:ind w:left="5450" w:hanging="291"/>
      </w:pPr>
      <w:rPr>
        <w:rFonts w:hint="default"/>
        <w:lang w:val="es-ES" w:eastAsia="en-US" w:bidi="ar-SA"/>
      </w:rPr>
    </w:lvl>
    <w:lvl w:ilvl="6">
      <w:start w:val="0"/>
      <w:numFmt w:val="bullet"/>
      <w:lvlText w:val="•"/>
      <w:lvlJc w:val="left"/>
      <w:pPr>
        <w:ind w:left="6492" w:hanging="291"/>
      </w:pPr>
      <w:rPr>
        <w:rFonts w:hint="default"/>
        <w:lang w:val="es-ES" w:eastAsia="en-US" w:bidi="ar-SA"/>
      </w:rPr>
    </w:lvl>
    <w:lvl w:ilvl="7">
      <w:start w:val="0"/>
      <w:numFmt w:val="bullet"/>
      <w:lvlText w:val="•"/>
      <w:lvlJc w:val="left"/>
      <w:pPr>
        <w:ind w:left="7534" w:hanging="291"/>
      </w:pPr>
      <w:rPr>
        <w:rFonts w:hint="default"/>
        <w:lang w:val="es-ES" w:eastAsia="en-US" w:bidi="ar-SA"/>
      </w:rPr>
    </w:lvl>
    <w:lvl w:ilvl="8">
      <w:start w:val="0"/>
      <w:numFmt w:val="bullet"/>
      <w:lvlText w:val="•"/>
      <w:lvlJc w:val="left"/>
      <w:pPr>
        <w:ind w:left="8576" w:hanging="291"/>
      </w:pPr>
      <w:rPr>
        <w:rFonts w:hint="default"/>
        <w:lang w:val="es-ES" w:eastAsia="en-US" w:bidi="ar-SA"/>
      </w:rPr>
    </w:lvl>
  </w:abstractNum>
  <w:abstractNum w:abstractNumId="42">
    <w:multiLevelType w:val="hybridMultilevel"/>
    <w:lvl w:ilvl="0">
      <w:start w:val="18"/>
      <w:numFmt w:val="decimal"/>
      <w:lvlText w:val="%1"/>
      <w:lvlJc w:val="left"/>
      <w:pPr>
        <w:ind w:left="491" w:hanging="252"/>
        <w:jc w:val="left"/>
      </w:pPr>
      <w:rPr>
        <w:rFonts w:hint="default" w:ascii="Tahoma" w:hAnsi="Tahoma" w:eastAsia="Tahoma" w:cs="Tahoma"/>
        <w:spacing w:val="0"/>
        <w:w w:val="100"/>
        <w:position w:val="11"/>
        <w:sz w:val="16"/>
        <w:szCs w:val="16"/>
        <w:lang w:val="es-ES" w:eastAsia="en-US" w:bidi="ar-SA"/>
      </w:rPr>
    </w:lvl>
    <w:lvl w:ilvl="1">
      <w:start w:val="0"/>
      <w:numFmt w:val="bullet"/>
      <w:lvlText w:val=""/>
      <w:lvlJc w:val="left"/>
      <w:pPr>
        <w:ind w:left="959" w:hanging="360"/>
      </w:pPr>
      <w:rPr>
        <w:rFonts w:hint="default" w:ascii="Symbol" w:hAnsi="Symbol" w:eastAsia="Symbol" w:cs="Symbol"/>
        <w:w w:val="99"/>
        <w:sz w:val="23"/>
        <w:szCs w:val="23"/>
        <w:lang w:val="es-ES" w:eastAsia="en-US" w:bidi="ar-SA"/>
      </w:rPr>
    </w:lvl>
    <w:lvl w:ilvl="2">
      <w:start w:val="0"/>
      <w:numFmt w:val="bullet"/>
      <w:lvlText w:val="•"/>
      <w:lvlJc w:val="left"/>
      <w:pPr>
        <w:ind w:left="2037" w:hanging="360"/>
      </w:pPr>
      <w:rPr>
        <w:rFonts w:hint="default"/>
        <w:lang w:val="es-ES" w:eastAsia="en-US" w:bidi="ar-SA"/>
      </w:rPr>
    </w:lvl>
    <w:lvl w:ilvl="3">
      <w:start w:val="0"/>
      <w:numFmt w:val="bullet"/>
      <w:lvlText w:val="•"/>
      <w:lvlJc w:val="left"/>
      <w:pPr>
        <w:ind w:left="3115" w:hanging="360"/>
      </w:pPr>
      <w:rPr>
        <w:rFonts w:hint="default"/>
        <w:lang w:val="es-ES" w:eastAsia="en-US" w:bidi="ar-SA"/>
      </w:rPr>
    </w:lvl>
    <w:lvl w:ilvl="4">
      <w:start w:val="0"/>
      <w:numFmt w:val="bullet"/>
      <w:lvlText w:val="•"/>
      <w:lvlJc w:val="left"/>
      <w:pPr>
        <w:ind w:left="4193" w:hanging="360"/>
      </w:pPr>
      <w:rPr>
        <w:rFonts w:hint="default"/>
        <w:lang w:val="es-ES" w:eastAsia="en-US" w:bidi="ar-SA"/>
      </w:rPr>
    </w:lvl>
    <w:lvl w:ilvl="5">
      <w:start w:val="0"/>
      <w:numFmt w:val="bullet"/>
      <w:lvlText w:val="•"/>
      <w:lvlJc w:val="left"/>
      <w:pPr>
        <w:ind w:left="5271" w:hanging="360"/>
      </w:pPr>
      <w:rPr>
        <w:rFonts w:hint="default"/>
        <w:lang w:val="es-ES" w:eastAsia="en-US" w:bidi="ar-SA"/>
      </w:rPr>
    </w:lvl>
    <w:lvl w:ilvl="6">
      <w:start w:val="0"/>
      <w:numFmt w:val="bullet"/>
      <w:lvlText w:val="•"/>
      <w:lvlJc w:val="left"/>
      <w:pPr>
        <w:ind w:left="6348" w:hanging="360"/>
      </w:pPr>
      <w:rPr>
        <w:rFonts w:hint="default"/>
        <w:lang w:val="es-ES" w:eastAsia="en-US" w:bidi="ar-SA"/>
      </w:rPr>
    </w:lvl>
    <w:lvl w:ilvl="7">
      <w:start w:val="0"/>
      <w:numFmt w:val="bullet"/>
      <w:lvlText w:val="•"/>
      <w:lvlJc w:val="left"/>
      <w:pPr>
        <w:ind w:left="7426" w:hanging="360"/>
      </w:pPr>
      <w:rPr>
        <w:rFonts w:hint="default"/>
        <w:lang w:val="es-ES" w:eastAsia="en-US" w:bidi="ar-SA"/>
      </w:rPr>
    </w:lvl>
    <w:lvl w:ilvl="8">
      <w:start w:val="0"/>
      <w:numFmt w:val="bullet"/>
      <w:lvlText w:val="•"/>
      <w:lvlJc w:val="left"/>
      <w:pPr>
        <w:ind w:left="8504" w:hanging="360"/>
      </w:pPr>
      <w:rPr>
        <w:rFonts w:hint="default"/>
        <w:lang w:val="es-ES" w:eastAsia="en-US" w:bidi="ar-SA"/>
      </w:rPr>
    </w:lvl>
  </w:abstractNum>
  <w:abstractNum w:abstractNumId="41">
    <w:multiLevelType w:val="hybridMultilevel"/>
    <w:lvl w:ilvl="0">
      <w:start w:val="15"/>
      <w:numFmt w:val="decimal"/>
      <w:lvlText w:val="%1."/>
      <w:lvlJc w:val="left"/>
      <w:pPr>
        <w:ind w:left="108" w:hanging="339"/>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16" w:hanging="339"/>
      </w:pPr>
      <w:rPr>
        <w:rFonts w:hint="default"/>
        <w:lang w:val="es-ES" w:eastAsia="en-US" w:bidi="ar-SA"/>
      </w:rPr>
    </w:lvl>
    <w:lvl w:ilvl="2">
      <w:start w:val="0"/>
      <w:numFmt w:val="bullet"/>
      <w:lvlText w:val="•"/>
      <w:lvlJc w:val="left"/>
      <w:pPr>
        <w:ind w:left="732" w:hanging="339"/>
      </w:pPr>
      <w:rPr>
        <w:rFonts w:hint="default"/>
        <w:lang w:val="es-ES" w:eastAsia="en-US" w:bidi="ar-SA"/>
      </w:rPr>
    </w:lvl>
    <w:lvl w:ilvl="3">
      <w:start w:val="0"/>
      <w:numFmt w:val="bullet"/>
      <w:lvlText w:val="•"/>
      <w:lvlJc w:val="left"/>
      <w:pPr>
        <w:ind w:left="1048" w:hanging="339"/>
      </w:pPr>
      <w:rPr>
        <w:rFonts w:hint="default"/>
        <w:lang w:val="es-ES" w:eastAsia="en-US" w:bidi="ar-SA"/>
      </w:rPr>
    </w:lvl>
    <w:lvl w:ilvl="4">
      <w:start w:val="0"/>
      <w:numFmt w:val="bullet"/>
      <w:lvlText w:val="•"/>
      <w:lvlJc w:val="left"/>
      <w:pPr>
        <w:ind w:left="1365" w:hanging="339"/>
      </w:pPr>
      <w:rPr>
        <w:rFonts w:hint="default"/>
        <w:lang w:val="es-ES" w:eastAsia="en-US" w:bidi="ar-SA"/>
      </w:rPr>
    </w:lvl>
    <w:lvl w:ilvl="5">
      <w:start w:val="0"/>
      <w:numFmt w:val="bullet"/>
      <w:lvlText w:val="•"/>
      <w:lvlJc w:val="left"/>
      <w:pPr>
        <w:ind w:left="1681" w:hanging="339"/>
      </w:pPr>
      <w:rPr>
        <w:rFonts w:hint="default"/>
        <w:lang w:val="es-ES" w:eastAsia="en-US" w:bidi="ar-SA"/>
      </w:rPr>
    </w:lvl>
    <w:lvl w:ilvl="6">
      <w:start w:val="0"/>
      <w:numFmt w:val="bullet"/>
      <w:lvlText w:val="•"/>
      <w:lvlJc w:val="left"/>
      <w:pPr>
        <w:ind w:left="1997" w:hanging="339"/>
      </w:pPr>
      <w:rPr>
        <w:rFonts w:hint="default"/>
        <w:lang w:val="es-ES" w:eastAsia="en-US" w:bidi="ar-SA"/>
      </w:rPr>
    </w:lvl>
    <w:lvl w:ilvl="7">
      <w:start w:val="0"/>
      <w:numFmt w:val="bullet"/>
      <w:lvlText w:val="•"/>
      <w:lvlJc w:val="left"/>
      <w:pPr>
        <w:ind w:left="2314" w:hanging="339"/>
      </w:pPr>
      <w:rPr>
        <w:rFonts w:hint="default"/>
        <w:lang w:val="es-ES" w:eastAsia="en-US" w:bidi="ar-SA"/>
      </w:rPr>
    </w:lvl>
    <w:lvl w:ilvl="8">
      <w:start w:val="0"/>
      <w:numFmt w:val="bullet"/>
      <w:lvlText w:val="•"/>
      <w:lvlJc w:val="left"/>
      <w:pPr>
        <w:ind w:left="2630" w:hanging="339"/>
      </w:pPr>
      <w:rPr>
        <w:rFonts w:hint="default"/>
        <w:lang w:val="es-ES" w:eastAsia="en-US" w:bidi="ar-SA"/>
      </w:rPr>
    </w:lvl>
  </w:abstractNum>
  <w:abstractNum w:abstractNumId="40">
    <w:multiLevelType w:val="hybridMultilevel"/>
    <w:lvl w:ilvl="0">
      <w:start w:val="15"/>
      <w:numFmt w:val="decimal"/>
      <w:lvlText w:val="%1."/>
      <w:lvlJc w:val="left"/>
      <w:pPr>
        <w:ind w:left="108" w:hanging="339"/>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65" w:hanging="339"/>
      </w:pPr>
      <w:rPr>
        <w:rFonts w:hint="default"/>
        <w:lang w:val="es-ES" w:eastAsia="en-US" w:bidi="ar-SA"/>
      </w:rPr>
    </w:lvl>
    <w:lvl w:ilvl="2">
      <w:start w:val="0"/>
      <w:numFmt w:val="bullet"/>
      <w:lvlText w:val="•"/>
      <w:lvlJc w:val="left"/>
      <w:pPr>
        <w:ind w:left="830" w:hanging="339"/>
      </w:pPr>
      <w:rPr>
        <w:rFonts w:hint="default"/>
        <w:lang w:val="es-ES" w:eastAsia="en-US" w:bidi="ar-SA"/>
      </w:rPr>
    </w:lvl>
    <w:lvl w:ilvl="3">
      <w:start w:val="0"/>
      <w:numFmt w:val="bullet"/>
      <w:lvlText w:val="•"/>
      <w:lvlJc w:val="left"/>
      <w:pPr>
        <w:ind w:left="1195" w:hanging="339"/>
      </w:pPr>
      <w:rPr>
        <w:rFonts w:hint="default"/>
        <w:lang w:val="es-ES" w:eastAsia="en-US" w:bidi="ar-SA"/>
      </w:rPr>
    </w:lvl>
    <w:lvl w:ilvl="4">
      <w:start w:val="0"/>
      <w:numFmt w:val="bullet"/>
      <w:lvlText w:val="•"/>
      <w:lvlJc w:val="left"/>
      <w:pPr>
        <w:ind w:left="1561" w:hanging="339"/>
      </w:pPr>
      <w:rPr>
        <w:rFonts w:hint="default"/>
        <w:lang w:val="es-ES" w:eastAsia="en-US" w:bidi="ar-SA"/>
      </w:rPr>
    </w:lvl>
    <w:lvl w:ilvl="5">
      <w:start w:val="0"/>
      <w:numFmt w:val="bullet"/>
      <w:lvlText w:val="•"/>
      <w:lvlJc w:val="left"/>
      <w:pPr>
        <w:ind w:left="1926" w:hanging="339"/>
      </w:pPr>
      <w:rPr>
        <w:rFonts w:hint="default"/>
        <w:lang w:val="es-ES" w:eastAsia="en-US" w:bidi="ar-SA"/>
      </w:rPr>
    </w:lvl>
    <w:lvl w:ilvl="6">
      <w:start w:val="0"/>
      <w:numFmt w:val="bullet"/>
      <w:lvlText w:val="•"/>
      <w:lvlJc w:val="left"/>
      <w:pPr>
        <w:ind w:left="2291" w:hanging="339"/>
      </w:pPr>
      <w:rPr>
        <w:rFonts w:hint="default"/>
        <w:lang w:val="es-ES" w:eastAsia="en-US" w:bidi="ar-SA"/>
      </w:rPr>
    </w:lvl>
    <w:lvl w:ilvl="7">
      <w:start w:val="0"/>
      <w:numFmt w:val="bullet"/>
      <w:lvlText w:val="•"/>
      <w:lvlJc w:val="left"/>
      <w:pPr>
        <w:ind w:left="2657" w:hanging="339"/>
      </w:pPr>
      <w:rPr>
        <w:rFonts w:hint="default"/>
        <w:lang w:val="es-ES" w:eastAsia="en-US" w:bidi="ar-SA"/>
      </w:rPr>
    </w:lvl>
    <w:lvl w:ilvl="8">
      <w:start w:val="0"/>
      <w:numFmt w:val="bullet"/>
      <w:lvlText w:val="•"/>
      <w:lvlJc w:val="left"/>
      <w:pPr>
        <w:ind w:left="3022" w:hanging="339"/>
      </w:pPr>
      <w:rPr>
        <w:rFonts w:hint="default"/>
        <w:lang w:val="es-ES" w:eastAsia="en-US" w:bidi="ar-SA"/>
      </w:rPr>
    </w:lvl>
  </w:abstractNum>
  <w:abstractNum w:abstractNumId="39">
    <w:multiLevelType w:val="hybridMultilevel"/>
    <w:lvl w:ilvl="0">
      <w:start w:val="12"/>
      <w:numFmt w:val="decimal"/>
      <w:lvlText w:val="%1."/>
      <w:lvlJc w:val="left"/>
      <w:pPr>
        <w:ind w:left="108" w:hanging="34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16" w:hanging="341"/>
      </w:pPr>
      <w:rPr>
        <w:rFonts w:hint="default"/>
        <w:lang w:val="es-ES" w:eastAsia="en-US" w:bidi="ar-SA"/>
      </w:rPr>
    </w:lvl>
    <w:lvl w:ilvl="2">
      <w:start w:val="0"/>
      <w:numFmt w:val="bullet"/>
      <w:lvlText w:val="•"/>
      <w:lvlJc w:val="left"/>
      <w:pPr>
        <w:ind w:left="732" w:hanging="341"/>
      </w:pPr>
      <w:rPr>
        <w:rFonts w:hint="default"/>
        <w:lang w:val="es-ES" w:eastAsia="en-US" w:bidi="ar-SA"/>
      </w:rPr>
    </w:lvl>
    <w:lvl w:ilvl="3">
      <w:start w:val="0"/>
      <w:numFmt w:val="bullet"/>
      <w:lvlText w:val="•"/>
      <w:lvlJc w:val="left"/>
      <w:pPr>
        <w:ind w:left="1048" w:hanging="341"/>
      </w:pPr>
      <w:rPr>
        <w:rFonts w:hint="default"/>
        <w:lang w:val="es-ES" w:eastAsia="en-US" w:bidi="ar-SA"/>
      </w:rPr>
    </w:lvl>
    <w:lvl w:ilvl="4">
      <w:start w:val="0"/>
      <w:numFmt w:val="bullet"/>
      <w:lvlText w:val="•"/>
      <w:lvlJc w:val="left"/>
      <w:pPr>
        <w:ind w:left="1365" w:hanging="341"/>
      </w:pPr>
      <w:rPr>
        <w:rFonts w:hint="default"/>
        <w:lang w:val="es-ES" w:eastAsia="en-US" w:bidi="ar-SA"/>
      </w:rPr>
    </w:lvl>
    <w:lvl w:ilvl="5">
      <w:start w:val="0"/>
      <w:numFmt w:val="bullet"/>
      <w:lvlText w:val="•"/>
      <w:lvlJc w:val="left"/>
      <w:pPr>
        <w:ind w:left="1681" w:hanging="341"/>
      </w:pPr>
      <w:rPr>
        <w:rFonts w:hint="default"/>
        <w:lang w:val="es-ES" w:eastAsia="en-US" w:bidi="ar-SA"/>
      </w:rPr>
    </w:lvl>
    <w:lvl w:ilvl="6">
      <w:start w:val="0"/>
      <w:numFmt w:val="bullet"/>
      <w:lvlText w:val="•"/>
      <w:lvlJc w:val="left"/>
      <w:pPr>
        <w:ind w:left="1997" w:hanging="341"/>
      </w:pPr>
      <w:rPr>
        <w:rFonts w:hint="default"/>
        <w:lang w:val="es-ES" w:eastAsia="en-US" w:bidi="ar-SA"/>
      </w:rPr>
    </w:lvl>
    <w:lvl w:ilvl="7">
      <w:start w:val="0"/>
      <w:numFmt w:val="bullet"/>
      <w:lvlText w:val="•"/>
      <w:lvlJc w:val="left"/>
      <w:pPr>
        <w:ind w:left="2314" w:hanging="341"/>
      </w:pPr>
      <w:rPr>
        <w:rFonts w:hint="default"/>
        <w:lang w:val="es-ES" w:eastAsia="en-US" w:bidi="ar-SA"/>
      </w:rPr>
    </w:lvl>
    <w:lvl w:ilvl="8">
      <w:start w:val="0"/>
      <w:numFmt w:val="bullet"/>
      <w:lvlText w:val="•"/>
      <w:lvlJc w:val="left"/>
      <w:pPr>
        <w:ind w:left="2630" w:hanging="341"/>
      </w:pPr>
      <w:rPr>
        <w:rFonts w:hint="default"/>
        <w:lang w:val="es-ES" w:eastAsia="en-US" w:bidi="ar-SA"/>
      </w:rPr>
    </w:lvl>
  </w:abstractNum>
  <w:abstractNum w:abstractNumId="38">
    <w:multiLevelType w:val="hybridMultilevel"/>
    <w:lvl w:ilvl="0">
      <w:start w:val="12"/>
      <w:numFmt w:val="decimal"/>
      <w:lvlText w:val="%1."/>
      <w:lvlJc w:val="left"/>
      <w:pPr>
        <w:ind w:left="108" w:hanging="339"/>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65" w:hanging="339"/>
      </w:pPr>
      <w:rPr>
        <w:rFonts w:hint="default"/>
        <w:lang w:val="es-ES" w:eastAsia="en-US" w:bidi="ar-SA"/>
      </w:rPr>
    </w:lvl>
    <w:lvl w:ilvl="2">
      <w:start w:val="0"/>
      <w:numFmt w:val="bullet"/>
      <w:lvlText w:val="•"/>
      <w:lvlJc w:val="left"/>
      <w:pPr>
        <w:ind w:left="830" w:hanging="339"/>
      </w:pPr>
      <w:rPr>
        <w:rFonts w:hint="default"/>
        <w:lang w:val="es-ES" w:eastAsia="en-US" w:bidi="ar-SA"/>
      </w:rPr>
    </w:lvl>
    <w:lvl w:ilvl="3">
      <w:start w:val="0"/>
      <w:numFmt w:val="bullet"/>
      <w:lvlText w:val="•"/>
      <w:lvlJc w:val="left"/>
      <w:pPr>
        <w:ind w:left="1195" w:hanging="339"/>
      </w:pPr>
      <w:rPr>
        <w:rFonts w:hint="default"/>
        <w:lang w:val="es-ES" w:eastAsia="en-US" w:bidi="ar-SA"/>
      </w:rPr>
    </w:lvl>
    <w:lvl w:ilvl="4">
      <w:start w:val="0"/>
      <w:numFmt w:val="bullet"/>
      <w:lvlText w:val="•"/>
      <w:lvlJc w:val="left"/>
      <w:pPr>
        <w:ind w:left="1561" w:hanging="339"/>
      </w:pPr>
      <w:rPr>
        <w:rFonts w:hint="default"/>
        <w:lang w:val="es-ES" w:eastAsia="en-US" w:bidi="ar-SA"/>
      </w:rPr>
    </w:lvl>
    <w:lvl w:ilvl="5">
      <w:start w:val="0"/>
      <w:numFmt w:val="bullet"/>
      <w:lvlText w:val="•"/>
      <w:lvlJc w:val="left"/>
      <w:pPr>
        <w:ind w:left="1926" w:hanging="339"/>
      </w:pPr>
      <w:rPr>
        <w:rFonts w:hint="default"/>
        <w:lang w:val="es-ES" w:eastAsia="en-US" w:bidi="ar-SA"/>
      </w:rPr>
    </w:lvl>
    <w:lvl w:ilvl="6">
      <w:start w:val="0"/>
      <w:numFmt w:val="bullet"/>
      <w:lvlText w:val="•"/>
      <w:lvlJc w:val="left"/>
      <w:pPr>
        <w:ind w:left="2291" w:hanging="339"/>
      </w:pPr>
      <w:rPr>
        <w:rFonts w:hint="default"/>
        <w:lang w:val="es-ES" w:eastAsia="en-US" w:bidi="ar-SA"/>
      </w:rPr>
    </w:lvl>
    <w:lvl w:ilvl="7">
      <w:start w:val="0"/>
      <w:numFmt w:val="bullet"/>
      <w:lvlText w:val="•"/>
      <w:lvlJc w:val="left"/>
      <w:pPr>
        <w:ind w:left="2657" w:hanging="339"/>
      </w:pPr>
      <w:rPr>
        <w:rFonts w:hint="default"/>
        <w:lang w:val="es-ES" w:eastAsia="en-US" w:bidi="ar-SA"/>
      </w:rPr>
    </w:lvl>
    <w:lvl w:ilvl="8">
      <w:start w:val="0"/>
      <w:numFmt w:val="bullet"/>
      <w:lvlText w:val="•"/>
      <w:lvlJc w:val="left"/>
      <w:pPr>
        <w:ind w:left="3022" w:hanging="339"/>
      </w:pPr>
      <w:rPr>
        <w:rFonts w:hint="default"/>
        <w:lang w:val="es-ES" w:eastAsia="en-US" w:bidi="ar-SA"/>
      </w:rPr>
    </w:lvl>
  </w:abstractNum>
  <w:abstractNum w:abstractNumId="37">
    <w:multiLevelType w:val="hybridMultilevel"/>
    <w:lvl w:ilvl="0">
      <w:start w:val="12"/>
      <w:numFmt w:val="decimal"/>
      <w:lvlText w:val="%1."/>
      <w:lvlJc w:val="left"/>
      <w:pPr>
        <w:ind w:left="108" w:hanging="34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71" w:hanging="341"/>
      </w:pPr>
      <w:rPr>
        <w:rFonts w:hint="default"/>
        <w:lang w:val="es-ES" w:eastAsia="en-US" w:bidi="ar-SA"/>
      </w:rPr>
    </w:lvl>
    <w:lvl w:ilvl="2">
      <w:start w:val="0"/>
      <w:numFmt w:val="bullet"/>
      <w:lvlText w:val="•"/>
      <w:lvlJc w:val="left"/>
      <w:pPr>
        <w:ind w:left="843" w:hanging="341"/>
      </w:pPr>
      <w:rPr>
        <w:rFonts w:hint="default"/>
        <w:lang w:val="es-ES" w:eastAsia="en-US" w:bidi="ar-SA"/>
      </w:rPr>
    </w:lvl>
    <w:lvl w:ilvl="3">
      <w:start w:val="0"/>
      <w:numFmt w:val="bullet"/>
      <w:lvlText w:val="•"/>
      <w:lvlJc w:val="left"/>
      <w:pPr>
        <w:ind w:left="1215" w:hanging="341"/>
      </w:pPr>
      <w:rPr>
        <w:rFonts w:hint="default"/>
        <w:lang w:val="es-ES" w:eastAsia="en-US" w:bidi="ar-SA"/>
      </w:rPr>
    </w:lvl>
    <w:lvl w:ilvl="4">
      <w:start w:val="0"/>
      <w:numFmt w:val="bullet"/>
      <w:lvlText w:val="•"/>
      <w:lvlJc w:val="left"/>
      <w:pPr>
        <w:ind w:left="1587" w:hanging="341"/>
      </w:pPr>
      <w:rPr>
        <w:rFonts w:hint="default"/>
        <w:lang w:val="es-ES" w:eastAsia="en-US" w:bidi="ar-SA"/>
      </w:rPr>
    </w:lvl>
    <w:lvl w:ilvl="5">
      <w:start w:val="0"/>
      <w:numFmt w:val="bullet"/>
      <w:lvlText w:val="•"/>
      <w:lvlJc w:val="left"/>
      <w:pPr>
        <w:ind w:left="1959" w:hanging="341"/>
      </w:pPr>
      <w:rPr>
        <w:rFonts w:hint="default"/>
        <w:lang w:val="es-ES" w:eastAsia="en-US" w:bidi="ar-SA"/>
      </w:rPr>
    </w:lvl>
    <w:lvl w:ilvl="6">
      <w:start w:val="0"/>
      <w:numFmt w:val="bullet"/>
      <w:lvlText w:val="•"/>
      <w:lvlJc w:val="left"/>
      <w:pPr>
        <w:ind w:left="2330" w:hanging="341"/>
      </w:pPr>
      <w:rPr>
        <w:rFonts w:hint="default"/>
        <w:lang w:val="es-ES" w:eastAsia="en-US" w:bidi="ar-SA"/>
      </w:rPr>
    </w:lvl>
    <w:lvl w:ilvl="7">
      <w:start w:val="0"/>
      <w:numFmt w:val="bullet"/>
      <w:lvlText w:val="•"/>
      <w:lvlJc w:val="left"/>
      <w:pPr>
        <w:ind w:left="2702" w:hanging="341"/>
      </w:pPr>
      <w:rPr>
        <w:rFonts w:hint="default"/>
        <w:lang w:val="es-ES" w:eastAsia="en-US" w:bidi="ar-SA"/>
      </w:rPr>
    </w:lvl>
    <w:lvl w:ilvl="8">
      <w:start w:val="0"/>
      <w:numFmt w:val="bullet"/>
      <w:lvlText w:val="•"/>
      <w:lvlJc w:val="left"/>
      <w:pPr>
        <w:ind w:left="3074" w:hanging="341"/>
      </w:pPr>
      <w:rPr>
        <w:rFonts w:hint="default"/>
        <w:lang w:val="es-ES" w:eastAsia="en-US" w:bidi="ar-SA"/>
      </w:rPr>
    </w:lvl>
  </w:abstractNum>
  <w:abstractNum w:abstractNumId="36">
    <w:multiLevelType w:val="hybridMultilevel"/>
    <w:lvl w:ilvl="0">
      <w:start w:val="10"/>
      <w:numFmt w:val="decimal"/>
      <w:lvlText w:val="%1."/>
      <w:lvlJc w:val="left"/>
      <w:pPr>
        <w:ind w:left="108" w:hanging="339"/>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16" w:hanging="339"/>
      </w:pPr>
      <w:rPr>
        <w:rFonts w:hint="default"/>
        <w:lang w:val="es-ES" w:eastAsia="en-US" w:bidi="ar-SA"/>
      </w:rPr>
    </w:lvl>
    <w:lvl w:ilvl="2">
      <w:start w:val="0"/>
      <w:numFmt w:val="bullet"/>
      <w:lvlText w:val="•"/>
      <w:lvlJc w:val="left"/>
      <w:pPr>
        <w:ind w:left="732" w:hanging="339"/>
      </w:pPr>
      <w:rPr>
        <w:rFonts w:hint="default"/>
        <w:lang w:val="es-ES" w:eastAsia="en-US" w:bidi="ar-SA"/>
      </w:rPr>
    </w:lvl>
    <w:lvl w:ilvl="3">
      <w:start w:val="0"/>
      <w:numFmt w:val="bullet"/>
      <w:lvlText w:val="•"/>
      <w:lvlJc w:val="left"/>
      <w:pPr>
        <w:ind w:left="1048" w:hanging="339"/>
      </w:pPr>
      <w:rPr>
        <w:rFonts w:hint="default"/>
        <w:lang w:val="es-ES" w:eastAsia="en-US" w:bidi="ar-SA"/>
      </w:rPr>
    </w:lvl>
    <w:lvl w:ilvl="4">
      <w:start w:val="0"/>
      <w:numFmt w:val="bullet"/>
      <w:lvlText w:val="•"/>
      <w:lvlJc w:val="left"/>
      <w:pPr>
        <w:ind w:left="1365" w:hanging="339"/>
      </w:pPr>
      <w:rPr>
        <w:rFonts w:hint="default"/>
        <w:lang w:val="es-ES" w:eastAsia="en-US" w:bidi="ar-SA"/>
      </w:rPr>
    </w:lvl>
    <w:lvl w:ilvl="5">
      <w:start w:val="0"/>
      <w:numFmt w:val="bullet"/>
      <w:lvlText w:val="•"/>
      <w:lvlJc w:val="left"/>
      <w:pPr>
        <w:ind w:left="1681" w:hanging="339"/>
      </w:pPr>
      <w:rPr>
        <w:rFonts w:hint="default"/>
        <w:lang w:val="es-ES" w:eastAsia="en-US" w:bidi="ar-SA"/>
      </w:rPr>
    </w:lvl>
    <w:lvl w:ilvl="6">
      <w:start w:val="0"/>
      <w:numFmt w:val="bullet"/>
      <w:lvlText w:val="•"/>
      <w:lvlJc w:val="left"/>
      <w:pPr>
        <w:ind w:left="1997" w:hanging="339"/>
      </w:pPr>
      <w:rPr>
        <w:rFonts w:hint="default"/>
        <w:lang w:val="es-ES" w:eastAsia="en-US" w:bidi="ar-SA"/>
      </w:rPr>
    </w:lvl>
    <w:lvl w:ilvl="7">
      <w:start w:val="0"/>
      <w:numFmt w:val="bullet"/>
      <w:lvlText w:val="•"/>
      <w:lvlJc w:val="left"/>
      <w:pPr>
        <w:ind w:left="2314" w:hanging="339"/>
      </w:pPr>
      <w:rPr>
        <w:rFonts w:hint="default"/>
        <w:lang w:val="es-ES" w:eastAsia="en-US" w:bidi="ar-SA"/>
      </w:rPr>
    </w:lvl>
    <w:lvl w:ilvl="8">
      <w:start w:val="0"/>
      <w:numFmt w:val="bullet"/>
      <w:lvlText w:val="•"/>
      <w:lvlJc w:val="left"/>
      <w:pPr>
        <w:ind w:left="2630" w:hanging="339"/>
      </w:pPr>
      <w:rPr>
        <w:rFonts w:hint="default"/>
        <w:lang w:val="es-ES" w:eastAsia="en-US" w:bidi="ar-SA"/>
      </w:rPr>
    </w:lvl>
  </w:abstractNum>
  <w:abstractNum w:abstractNumId="35">
    <w:multiLevelType w:val="hybridMultilevel"/>
    <w:lvl w:ilvl="0">
      <w:start w:val="10"/>
      <w:numFmt w:val="decimal"/>
      <w:lvlText w:val="%1."/>
      <w:lvlJc w:val="left"/>
      <w:pPr>
        <w:ind w:left="108" w:hanging="339"/>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65" w:hanging="339"/>
      </w:pPr>
      <w:rPr>
        <w:rFonts w:hint="default"/>
        <w:lang w:val="es-ES" w:eastAsia="en-US" w:bidi="ar-SA"/>
      </w:rPr>
    </w:lvl>
    <w:lvl w:ilvl="2">
      <w:start w:val="0"/>
      <w:numFmt w:val="bullet"/>
      <w:lvlText w:val="•"/>
      <w:lvlJc w:val="left"/>
      <w:pPr>
        <w:ind w:left="830" w:hanging="339"/>
      </w:pPr>
      <w:rPr>
        <w:rFonts w:hint="default"/>
        <w:lang w:val="es-ES" w:eastAsia="en-US" w:bidi="ar-SA"/>
      </w:rPr>
    </w:lvl>
    <w:lvl w:ilvl="3">
      <w:start w:val="0"/>
      <w:numFmt w:val="bullet"/>
      <w:lvlText w:val="•"/>
      <w:lvlJc w:val="left"/>
      <w:pPr>
        <w:ind w:left="1195" w:hanging="339"/>
      </w:pPr>
      <w:rPr>
        <w:rFonts w:hint="default"/>
        <w:lang w:val="es-ES" w:eastAsia="en-US" w:bidi="ar-SA"/>
      </w:rPr>
    </w:lvl>
    <w:lvl w:ilvl="4">
      <w:start w:val="0"/>
      <w:numFmt w:val="bullet"/>
      <w:lvlText w:val="•"/>
      <w:lvlJc w:val="left"/>
      <w:pPr>
        <w:ind w:left="1561" w:hanging="339"/>
      </w:pPr>
      <w:rPr>
        <w:rFonts w:hint="default"/>
        <w:lang w:val="es-ES" w:eastAsia="en-US" w:bidi="ar-SA"/>
      </w:rPr>
    </w:lvl>
    <w:lvl w:ilvl="5">
      <w:start w:val="0"/>
      <w:numFmt w:val="bullet"/>
      <w:lvlText w:val="•"/>
      <w:lvlJc w:val="left"/>
      <w:pPr>
        <w:ind w:left="1926" w:hanging="339"/>
      </w:pPr>
      <w:rPr>
        <w:rFonts w:hint="default"/>
        <w:lang w:val="es-ES" w:eastAsia="en-US" w:bidi="ar-SA"/>
      </w:rPr>
    </w:lvl>
    <w:lvl w:ilvl="6">
      <w:start w:val="0"/>
      <w:numFmt w:val="bullet"/>
      <w:lvlText w:val="•"/>
      <w:lvlJc w:val="left"/>
      <w:pPr>
        <w:ind w:left="2291" w:hanging="339"/>
      </w:pPr>
      <w:rPr>
        <w:rFonts w:hint="default"/>
        <w:lang w:val="es-ES" w:eastAsia="en-US" w:bidi="ar-SA"/>
      </w:rPr>
    </w:lvl>
    <w:lvl w:ilvl="7">
      <w:start w:val="0"/>
      <w:numFmt w:val="bullet"/>
      <w:lvlText w:val="•"/>
      <w:lvlJc w:val="left"/>
      <w:pPr>
        <w:ind w:left="2657" w:hanging="339"/>
      </w:pPr>
      <w:rPr>
        <w:rFonts w:hint="default"/>
        <w:lang w:val="es-ES" w:eastAsia="en-US" w:bidi="ar-SA"/>
      </w:rPr>
    </w:lvl>
    <w:lvl w:ilvl="8">
      <w:start w:val="0"/>
      <w:numFmt w:val="bullet"/>
      <w:lvlText w:val="•"/>
      <w:lvlJc w:val="left"/>
      <w:pPr>
        <w:ind w:left="3022" w:hanging="339"/>
      </w:pPr>
      <w:rPr>
        <w:rFonts w:hint="default"/>
        <w:lang w:val="es-ES" w:eastAsia="en-US" w:bidi="ar-SA"/>
      </w:rPr>
    </w:lvl>
  </w:abstractNum>
  <w:abstractNum w:abstractNumId="34">
    <w:multiLevelType w:val="hybridMultilevel"/>
    <w:lvl w:ilvl="0">
      <w:start w:val="10"/>
      <w:numFmt w:val="decimal"/>
      <w:lvlText w:val="%1."/>
      <w:lvlJc w:val="left"/>
      <w:pPr>
        <w:ind w:left="108" w:hanging="34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71" w:hanging="341"/>
      </w:pPr>
      <w:rPr>
        <w:rFonts w:hint="default"/>
        <w:lang w:val="es-ES" w:eastAsia="en-US" w:bidi="ar-SA"/>
      </w:rPr>
    </w:lvl>
    <w:lvl w:ilvl="2">
      <w:start w:val="0"/>
      <w:numFmt w:val="bullet"/>
      <w:lvlText w:val="•"/>
      <w:lvlJc w:val="left"/>
      <w:pPr>
        <w:ind w:left="843" w:hanging="341"/>
      </w:pPr>
      <w:rPr>
        <w:rFonts w:hint="default"/>
        <w:lang w:val="es-ES" w:eastAsia="en-US" w:bidi="ar-SA"/>
      </w:rPr>
    </w:lvl>
    <w:lvl w:ilvl="3">
      <w:start w:val="0"/>
      <w:numFmt w:val="bullet"/>
      <w:lvlText w:val="•"/>
      <w:lvlJc w:val="left"/>
      <w:pPr>
        <w:ind w:left="1215" w:hanging="341"/>
      </w:pPr>
      <w:rPr>
        <w:rFonts w:hint="default"/>
        <w:lang w:val="es-ES" w:eastAsia="en-US" w:bidi="ar-SA"/>
      </w:rPr>
    </w:lvl>
    <w:lvl w:ilvl="4">
      <w:start w:val="0"/>
      <w:numFmt w:val="bullet"/>
      <w:lvlText w:val="•"/>
      <w:lvlJc w:val="left"/>
      <w:pPr>
        <w:ind w:left="1587" w:hanging="341"/>
      </w:pPr>
      <w:rPr>
        <w:rFonts w:hint="default"/>
        <w:lang w:val="es-ES" w:eastAsia="en-US" w:bidi="ar-SA"/>
      </w:rPr>
    </w:lvl>
    <w:lvl w:ilvl="5">
      <w:start w:val="0"/>
      <w:numFmt w:val="bullet"/>
      <w:lvlText w:val="•"/>
      <w:lvlJc w:val="left"/>
      <w:pPr>
        <w:ind w:left="1959" w:hanging="341"/>
      </w:pPr>
      <w:rPr>
        <w:rFonts w:hint="default"/>
        <w:lang w:val="es-ES" w:eastAsia="en-US" w:bidi="ar-SA"/>
      </w:rPr>
    </w:lvl>
    <w:lvl w:ilvl="6">
      <w:start w:val="0"/>
      <w:numFmt w:val="bullet"/>
      <w:lvlText w:val="•"/>
      <w:lvlJc w:val="left"/>
      <w:pPr>
        <w:ind w:left="2330" w:hanging="341"/>
      </w:pPr>
      <w:rPr>
        <w:rFonts w:hint="default"/>
        <w:lang w:val="es-ES" w:eastAsia="en-US" w:bidi="ar-SA"/>
      </w:rPr>
    </w:lvl>
    <w:lvl w:ilvl="7">
      <w:start w:val="0"/>
      <w:numFmt w:val="bullet"/>
      <w:lvlText w:val="•"/>
      <w:lvlJc w:val="left"/>
      <w:pPr>
        <w:ind w:left="2702" w:hanging="341"/>
      </w:pPr>
      <w:rPr>
        <w:rFonts w:hint="default"/>
        <w:lang w:val="es-ES" w:eastAsia="en-US" w:bidi="ar-SA"/>
      </w:rPr>
    </w:lvl>
    <w:lvl w:ilvl="8">
      <w:start w:val="0"/>
      <w:numFmt w:val="bullet"/>
      <w:lvlText w:val="•"/>
      <w:lvlJc w:val="left"/>
      <w:pPr>
        <w:ind w:left="3074" w:hanging="341"/>
      </w:pPr>
      <w:rPr>
        <w:rFonts w:hint="default"/>
        <w:lang w:val="es-ES" w:eastAsia="en-US" w:bidi="ar-SA"/>
      </w:rPr>
    </w:lvl>
  </w:abstractNum>
  <w:abstractNum w:abstractNumId="33">
    <w:multiLevelType w:val="hybridMultilevel"/>
    <w:lvl w:ilvl="0">
      <w:start w:val="8"/>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16" w:hanging="231"/>
      </w:pPr>
      <w:rPr>
        <w:rFonts w:hint="default"/>
        <w:lang w:val="es-ES" w:eastAsia="en-US" w:bidi="ar-SA"/>
      </w:rPr>
    </w:lvl>
    <w:lvl w:ilvl="2">
      <w:start w:val="0"/>
      <w:numFmt w:val="bullet"/>
      <w:lvlText w:val="•"/>
      <w:lvlJc w:val="left"/>
      <w:pPr>
        <w:ind w:left="732" w:hanging="231"/>
      </w:pPr>
      <w:rPr>
        <w:rFonts w:hint="default"/>
        <w:lang w:val="es-ES" w:eastAsia="en-US" w:bidi="ar-SA"/>
      </w:rPr>
    </w:lvl>
    <w:lvl w:ilvl="3">
      <w:start w:val="0"/>
      <w:numFmt w:val="bullet"/>
      <w:lvlText w:val="•"/>
      <w:lvlJc w:val="left"/>
      <w:pPr>
        <w:ind w:left="1048" w:hanging="231"/>
      </w:pPr>
      <w:rPr>
        <w:rFonts w:hint="default"/>
        <w:lang w:val="es-ES" w:eastAsia="en-US" w:bidi="ar-SA"/>
      </w:rPr>
    </w:lvl>
    <w:lvl w:ilvl="4">
      <w:start w:val="0"/>
      <w:numFmt w:val="bullet"/>
      <w:lvlText w:val="•"/>
      <w:lvlJc w:val="left"/>
      <w:pPr>
        <w:ind w:left="1365" w:hanging="231"/>
      </w:pPr>
      <w:rPr>
        <w:rFonts w:hint="default"/>
        <w:lang w:val="es-ES" w:eastAsia="en-US" w:bidi="ar-SA"/>
      </w:rPr>
    </w:lvl>
    <w:lvl w:ilvl="5">
      <w:start w:val="0"/>
      <w:numFmt w:val="bullet"/>
      <w:lvlText w:val="•"/>
      <w:lvlJc w:val="left"/>
      <w:pPr>
        <w:ind w:left="1681" w:hanging="231"/>
      </w:pPr>
      <w:rPr>
        <w:rFonts w:hint="default"/>
        <w:lang w:val="es-ES" w:eastAsia="en-US" w:bidi="ar-SA"/>
      </w:rPr>
    </w:lvl>
    <w:lvl w:ilvl="6">
      <w:start w:val="0"/>
      <w:numFmt w:val="bullet"/>
      <w:lvlText w:val="•"/>
      <w:lvlJc w:val="left"/>
      <w:pPr>
        <w:ind w:left="1997" w:hanging="231"/>
      </w:pPr>
      <w:rPr>
        <w:rFonts w:hint="default"/>
        <w:lang w:val="es-ES" w:eastAsia="en-US" w:bidi="ar-SA"/>
      </w:rPr>
    </w:lvl>
    <w:lvl w:ilvl="7">
      <w:start w:val="0"/>
      <w:numFmt w:val="bullet"/>
      <w:lvlText w:val="•"/>
      <w:lvlJc w:val="left"/>
      <w:pPr>
        <w:ind w:left="2314" w:hanging="231"/>
      </w:pPr>
      <w:rPr>
        <w:rFonts w:hint="default"/>
        <w:lang w:val="es-ES" w:eastAsia="en-US" w:bidi="ar-SA"/>
      </w:rPr>
    </w:lvl>
    <w:lvl w:ilvl="8">
      <w:start w:val="0"/>
      <w:numFmt w:val="bullet"/>
      <w:lvlText w:val="•"/>
      <w:lvlJc w:val="left"/>
      <w:pPr>
        <w:ind w:left="2630" w:hanging="231"/>
      </w:pPr>
      <w:rPr>
        <w:rFonts w:hint="default"/>
        <w:lang w:val="es-ES" w:eastAsia="en-US" w:bidi="ar-SA"/>
      </w:rPr>
    </w:lvl>
  </w:abstractNum>
  <w:abstractNum w:abstractNumId="32">
    <w:multiLevelType w:val="hybridMultilevel"/>
    <w:lvl w:ilvl="0">
      <w:start w:val="8"/>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65" w:hanging="231"/>
      </w:pPr>
      <w:rPr>
        <w:rFonts w:hint="default"/>
        <w:lang w:val="es-ES" w:eastAsia="en-US" w:bidi="ar-SA"/>
      </w:rPr>
    </w:lvl>
    <w:lvl w:ilvl="2">
      <w:start w:val="0"/>
      <w:numFmt w:val="bullet"/>
      <w:lvlText w:val="•"/>
      <w:lvlJc w:val="left"/>
      <w:pPr>
        <w:ind w:left="830" w:hanging="231"/>
      </w:pPr>
      <w:rPr>
        <w:rFonts w:hint="default"/>
        <w:lang w:val="es-ES" w:eastAsia="en-US" w:bidi="ar-SA"/>
      </w:rPr>
    </w:lvl>
    <w:lvl w:ilvl="3">
      <w:start w:val="0"/>
      <w:numFmt w:val="bullet"/>
      <w:lvlText w:val="•"/>
      <w:lvlJc w:val="left"/>
      <w:pPr>
        <w:ind w:left="1195" w:hanging="231"/>
      </w:pPr>
      <w:rPr>
        <w:rFonts w:hint="default"/>
        <w:lang w:val="es-ES" w:eastAsia="en-US" w:bidi="ar-SA"/>
      </w:rPr>
    </w:lvl>
    <w:lvl w:ilvl="4">
      <w:start w:val="0"/>
      <w:numFmt w:val="bullet"/>
      <w:lvlText w:val="•"/>
      <w:lvlJc w:val="left"/>
      <w:pPr>
        <w:ind w:left="1561" w:hanging="231"/>
      </w:pPr>
      <w:rPr>
        <w:rFonts w:hint="default"/>
        <w:lang w:val="es-ES" w:eastAsia="en-US" w:bidi="ar-SA"/>
      </w:rPr>
    </w:lvl>
    <w:lvl w:ilvl="5">
      <w:start w:val="0"/>
      <w:numFmt w:val="bullet"/>
      <w:lvlText w:val="•"/>
      <w:lvlJc w:val="left"/>
      <w:pPr>
        <w:ind w:left="1926" w:hanging="231"/>
      </w:pPr>
      <w:rPr>
        <w:rFonts w:hint="default"/>
        <w:lang w:val="es-ES" w:eastAsia="en-US" w:bidi="ar-SA"/>
      </w:rPr>
    </w:lvl>
    <w:lvl w:ilvl="6">
      <w:start w:val="0"/>
      <w:numFmt w:val="bullet"/>
      <w:lvlText w:val="•"/>
      <w:lvlJc w:val="left"/>
      <w:pPr>
        <w:ind w:left="2291" w:hanging="231"/>
      </w:pPr>
      <w:rPr>
        <w:rFonts w:hint="default"/>
        <w:lang w:val="es-ES" w:eastAsia="en-US" w:bidi="ar-SA"/>
      </w:rPr>
    </w:lvl>
    <w:lvl w:ilvl="7">
      <w:start w:val="0"/>
      <w:numFmt w:val="bullet"/>
      <w:lvlText w:val="•"/>
      <w:lvlJc w:val="left"/>
      <w:pPr>
        <w:ind w:left="2657" w:hanging="231"/>
      </w:pPr>
      <w:rPr>
        <w:rFonts w:hint="default"/>
        <w:lang w:val="es-ES" w:eastAsia="en-US" w:bidi="ar-SA"/>
      </w:rPr>
    </w:lvl>
    <w:lvl w:ilvl="8">
      <w:start w:val="0"/>
      <w:numFmt w:val="bullet"/>
      <w:lvlText w:val="•"/>
      <w:lvlJc w:val="left"/>
      <w:pPr>
        <w:ind w:left="3022" w:hanging="231"/>
      </w:pPr>
      <w:rPr>
        <w:rFonts w:hint="default"/>
        <w:lang w:val="es-ES" w:eastAsia="en-US" w:bidi="ar-SA"/>
      </w:rPr>
    </w:lvl>
  </w:abstractNum>
  <w:abstractNum w:abstractNumId="31">
    <w:multiLevelType w:val="hybridMultilevel"/>
    <w:lvl w:ilvl="0">
      <w:start w:val="8"/>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71" w:hanging="231"/>
      </w:pPr>
      <w:rPr>
        <w:rFonts w:hint="default"/>
        <w:lang w:val="es-ES" w:eastAsia="en-US" w:bidi="ar-SA"/>
      </w:rPr>
    </w:lvl>
    <w:lvl w:ilvl="2">
      <w:start w:val="0"/>
      <w:numFmt w:val="bullet"/>
      <w:lvlText w:val="•"/>
      <w:lvlJc w:val="left"/>
      <w:pPr>
        <w:ind w:left="843" w:hanging="231"/>
      </w:pPr>
      <w:rPr>
        <w:rFonts w:hint="default"/>
        <w:lang w:val="es-ES" w:eastAsia="en-US" w:bidi="ar-SA"/>
      </w:rPr>
    </w:lvl>
    <w:lvl w:ilvl="3">
      <w:start w:val="0"/>
      <w:numFmt w:val="bullet"/>
      <w:lvlText w:val="•"/>
      <w:lvlJc w:val="left"/>
      <w:pPr>
        <w:ind w:left="1215" w:hanging="231"/>
      </w:pPr>
      <w:rPr>
        <w:rFonts w:hint="default"/>
        <w:lang w:val="es-ES" w:eastAsia="en-US" w:bidi="ar-SA"/>
      </w:rPr>
    </w:lvl>
    <w:lvl w:ilvl="4">
      <w:start w:val="0"/>
      <w:numFmt w:val="bullet"/>
      <w:lvlText w:val="•"/>
      <w:lvlJc w:val="left"/>
      <w:pPr>
        <w:ind w:left="1587" w:hanging="231"/>
      </w:pPr>
      <w:rPr>
        <w:rFonts w:hint="default"/>
        <w:lang w:val="es-ES" w:eastAsia="en-US" w:bidi="ar-SA"/>
      </w:rPr>
    </w:lvl>
    <w:lvl w:ilvl="5">
      <w:start w:val="0"/>
      <w:numFmt w:val="bullet"/>
      <w:lvlText w:val="•"/>
      <w:lvlJc w:val="left"/>
      <w:pPr>
        <w:ind w:left="1959" w:hanging="231"/>
      </w:pPr>
      <w:rPr>
        <w:rFonts w:hint="default"/>
        <w:lang w:val="es-ES" w:eastAsia="en-US" w:bidi="ar-SA"/>
      </w:rPr>
    </w:lvl>
    <w:lvl w:ilvl="6">
      <w:start w:val="0"/>
      <w:numFmt w:val="bullet"/>
      <w:lvlText w:val="•"/>
      <w:lvlJc w:val="left"/>
      <w:pPr>
        <w:ind w:left="2330" w:hanging="231"/>
      </w:pPr>
      <w:rPr>
        <w:rFonts w:hint="default"/>
        <w:lang w:val="es-ES" w:eastAsia="en-US" w:bidi="ar-SA"/>
      </w:rPr>
    </w:lvl>
    <w:lvl w:ilvl="7">
      <w:start w:val="0"/>
      <w:numFmt w:val="bullet"/>
      <w:lvlText w:val="•"/>
      <w:lvlJc w:val="left"/>
      <w:pPr>
        <w:ind w:left="2702" w:hanging="231"/>
      </w:pPr>
      <w:rPr>
        <w:rFonts w:hint="default"/>
        <w:lang w:val="es-ES" w:eastAsia="en-US" w:bidi="ar-SA"/>
      </w:rPr>
    </w:lvl>
    <w:lvl w:ilvl="8">
      <w:start w:val="0"/>
      <w:numFmt w:val="bullet"/>
      <w:lvlText w:val="•"/>
      <w:lvlJc w:val="left"/>
      <w:pPr>
        <w:ind w:left="3074" w:hanging="231"/>
      </w:pPr>
      <w:rPr>
        <w:rFonts w:hint="default"/>
        <w:lang w:val="es-ES" w:eastAsia="en-US" w:bidi="ar-SA"/>
      </w:rPr>
    </w:lvl>
  </w:abstractNum>
  <w:abstractNum w:abstractNumId="30">
    <w:multiLevelType w:val="hybridMultilevel"/>
    <w:lvl w:ilvl="0">
      <w:start w:val="6"/>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16" w:hanging="231"/>
      </w:pPr>
      <w:rPr>
        <w:rFonts w:hint="default"/>
        <w:lang w:val="es-ES" w:eastAsia="en-US" w:bidi="ar-SA"/>
      </w:rPr>
    </w:lvl>
    <w:lvl w:ilvl="2">
      <w:start w:val="0"/>
      <w:numFmt w:val="bullet"/>
      <w:lvlText w:val="•"/>
      <w:lvlJc w:val="left"/>
      <w:pPr>
        <w:ind w:left="732" w:hanging="231"/>
      </w:pPr>
      <w:rPr>
        <w:rFonts w:hint="default"/>
        <w:lang w:val="es-ES" w:eastAsia="en-US" w:bidi="ar-SA"/>
      </w:rPr>
    </w:lvl>
    <w:lvl w:ilvl="3">
      <w:start w:val="0"/>
      <w:numFmt w:val="bullet"/>
      <w:lvlText w:val="•"/>
      <w:lvlJc w:val="left"/>
      <w:pPr>
        <w:ind w:left="1048" w:hanging="231"/>
      </w:pPr>
      <w:rPr>
        <w:rFonts w:hint="default"/>
        <w:lang w:val="es-ES" w:eastAsia="en-US" w:bidi="ar-SA"/>
      </w:rPr>
    </w:lvl>
    <w:lvl w:ilvl="4">
      <w:start w:val="0"/>
      <w:numFmt w:val="bullet"/>
      <w:lvlText w:val="•"/>
      <w:lvlJc w:val="left"/>
      <w:pPr>
        <w:ind w:left="1365" w:hanging="231"/>
      </w:pPr>
      <w:rPr>
        <w:rFonts w:hint="default"/>
        <w:lang w:val="es-ES" w:eastAsia="en-US" w:bidi="ar-SA"/>
      </w:rPr>
    </w:lvl>
    <w:lvl w:ilvl="5">
      <w:start w:val="0"/>
      <w:numFmt w:val="bullet"/>
      <w:lvlText w:val="•"/>
      <w:lvlJc w:val="left"/>
      <w:pPr>
        <w:ind w:left="1681" w:hanging="231"/>
      </w:pPr>
      <w:rPr>
        <w:rFonts w:hint="default"/>
        <w:lang w:val="es-ES" w:eastAsia="en-US" w:bidi="ar-SA"/>
      </w:rPr>
    </w:lvl>
    <w:lvl w:ilvl="6">
      <w:start w:val="0"/>
      <w:numFmt w:val="bullet"/>
      <w:lvlText w:val="•"/>
      <w:lvlJc w:val="left"/>
      <w:pPr>
        <w:ind w:left="1997" w:hanging="231"/>
      </w:pPr>
      <w:rPr>
        <w:rFonts w:hint="default"/>
        <w:lang w:val="es-ES" w:eastAsia="en-US" w:bidi="ar-SA"/>
      </w:rPr>
    </w:lvl>
    <w:lvl w:ilvl="7">
      <w:start w:val="0"/>
      <w:numFmt w:val="bullet"/>
      <w:lvlText w:val="•"/>
      <w:lvlJc w:val="left"/>
      <w:pPr>
        <w:ind w:left="2314" w:hanging="231"/>
      </w:pPr>
      <w:rPr>
        <w:rFonts w:hint="default"/>
        <w:lang w:val="es-ES" w:eastAsia="en-US" w:bidi="ar-SA"/>
      </w:rPr>
    </w:lvl>
    <w:lvl w:ilvl="8">
      <w:start w:val="0"/>
      <w:numFmt w:val="bullet"/>
      <w:lvlText w:val="•"/>
      <w:lvlJc w:val="left"/>
      <w:pPr>
        <w:ind w:left="2630" w:hanging="231"/>
      </w:pPr>
      <w:rPr>
        <w:rFonts w:hint="default"/>
        <w:lang w:val="es-ES" w:eastAsia="en-US" w:bidi="ar-SA"/>
      </w:rPr>
    </w:lvl>
  </w:abstractNum>
  <w:abstractNum w:abstractNumId="29">
    <w:multiLevelType w:val="hybridMultilevel"/>
    <w:lvl w:ilvl="0">
      <w:start w:val="6"/>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65" w:hanging="231"/>
      </w:pPr>
      <w:rPr>
        <w:rFonts w:hint="default"/>
        <w:lang w:val="es-ES" w:eastAsia="en-US" w:bidi="ar-SA"/>
      </w:rPr>
    </w:lvl>
    <w:lvl w:ilvl="2">
      <w:start w:val="0"/>
      <w:numFmt w:val="bullet"/>
      <w:lvlText w:val="•"/>
      <w:lvlJc w:val="left"/>
      <w:pPr>
        <w:ind w:left="830" w:hanging="231"/>
      </w:pPr>
      <w:rPr>
        <w:rFonts w:hint="default"/>
        <w:lang w:val="es-ES" w:eastAsia="en-US" w:bidi="ar-SA"/>
      </w:rPr>
    </w:lvl>
    <w:lvl w:ilvl="3">
      <w:start w:val="0"/>
      <w:numFmt w:val="bullet"/>
      <w:lvlText w:val="•"/>
      <w:lvlJc w:val="left"/>
      <w:pPr>
        <w:ind w:left="1195" w:hanging="231"/>
      </w:pPr>
      <w:rPr>
        <w:rFonts w:hint="default"/>
        <w:lang w:val="es-ES" w:eastAsia="en-US" w:bidi="ar-SA"/>
      </w:rPr>
    </w:lvl>
    <w:lvl w:ilvl="4">
      <w:start w:val="0"/>
      <w:numFmt w:val="bullet"/>
      <w:lvlText w:val="•"/>
      <w:lvlJc w:val="left"/>
      <w:pPr>
        <w:ind w:left="1561" w:hanging="231"/>
      </w:pPr>
      <w:rPr>
        <w:rFonts w:hint="default"/>
        <w:lang w:val="es-ES" w:eastAsia="en-US" w:bidi="ar-SA"/>
      </w:rPr>
    </w:lvl>
    <w:lvl w:ilvl="5">
      <w:start w:val="0"/>
      <w:numFmt w:val="bullet"/>
      <w:lvlText w:val="•"/>
      <w:lvlJc w:val="left"/>
      <w:pPr>
        <w:ind w:left="1926" w:hanging="231"/>
      </w:pPr>
      <w:rPr>
        <w:rFonts w:hint="default"/>
        <w:lang w:val="es-ES" w:eastAsia="en-US" w:bidi="ar-SA"/>
      </w:rPr>
    </w:lvl>
    <w:lvl w:ilvl="6">
      <w:start w:val="0"/>
      <w:numFmt w:val="bullet"/>
      <w:lvlText w:val="•"/>
      <w:lvlJc w:val="left"/>
      <w:pPr>
        <w:ind w:left="2291" w:hanging="231"/>
      </w:pPr>
      <w:rPr>
        <w:rFonts w:hint="default"/>
        <w:lang w:val="es-ES" w:eastAsia="en-US" w:bidi="ar-SA"/>
      </w:rPr>
    </w:lvl>
    <w:lvl w:ilvl="7">
      <w:start w:val="0"/>
      <w:numFmt w:val="bullet"/>
      <w:lvlText w:val="•"/>
      <w:lvlJc w:val="left"/>
      <w:pPr>
        <w:ind w:left="2657" w:hanging="231"/>
      </w:pPr>
      <w:rPr>
        <w:rFonts w:hint="default"/>
        <w:lang w:val="es-ES" w:eastAsia="en-US" w:bidi="ar-SA"/>
      </w:rPr>
    </w:lvl>
    <w:lvl w:ilvl="8">
      <w:start w:val="0"/>
      <w:numFmt w:val="bullet"/>
      <w:lvlText w:val="•"/>
      <w:lvlJc w:val="left"/>
      <w:pPr>
        <w:ind w:left="3022" w:hanging="231"/>
      </w:pPr>
      <w:rPr>
        <w:rFonts w:hint="default"/>
        <w:lang w:val="es-ES" w:eastAsia="en-US" w:bidi="ar-SA"/>
      </w:rPr>
    </w:lvl>
  </w:abstractNum>
  <w:abstractNum w:abstractNumId="28">
    <w:multiLevelType w:val="hybridMultilevel"/>
    <w:lvl w:ilvl="0">
      <w:start w:val="6"/>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71" w:hanging="231"/>
      </w:pPr>
      <w:rPr>
        <w:rFonts w:hint="default"/>
        <w:lang w:val="es-ES" w:eastAsia="en-US" w:bidi="ar-SA"/>
      </w:rPr>
    </w:lvl>
    <w:lvl w:ilvl="2">
      <w:start w:val="0"/>
      <w:numFmt w:val="bullet"/>
      <w:lvlText w:val="•"/>
      <w:lvlJc w:val="left"/>
      <w:pPr>
        <w:ind w:left="843" w:hanging="231"/>
      </w:pPr>
      <w:rPr>
        <w:rFonts w:hint="default"/>
        <w:lang w:val="es-ES" w:eastAsia="en-US" w:bidi="ar-SA"/>
      </w:rPr>
    </w:lvl>
    <w:lvl w:ilvl="3">
      <w:start w:val="0"/>
      <w:numFmt w:val="bullet"/>
      <w:lvlText w:val="•"/>
      <w:lvlJc w:val="left"/>
      <w:pPr>
        <w:ind w:left="1215" w:hanging="231"/>
      </w:pPr>
      <w:rPr>
        <w:rFonts w:hint="default"/>
        <w:lang w:val="es-ES" w:eastAsia="en-US" w:bidi="ar-SA"/>
      </w:rPr>
    </w:lvl>
    <w:lvl w:ilvl="4">
      <w:start w:val="0"/>
      <w:numFmt w:val="bullet"/>
      <w:lvlText w:val="•"/>
      <w:lvlJc w:val="left"/>
      <w:pPr>
        <w:ind w:left="1587" w:hanging="231"/>
      </w:pPr>
      <w:rPr>
        <w:rFonts w:hint="default"/>
        <w:lang w:val="es-ES" w:eastAsia="en-US" w:bidi="ar-SA"/>
      </w:rPr>
    </w:lvl>
    <w:lvl w:ilvl="5">
      <w:start w:val="0"/>
      <w:numFmt w:val="bullet"/>
      <w:lvlText w:val="•"/>
      <w:lvlJc w:val="left"/>
      <w:pPr>
        <w:ind w:left="1959" w:hanging="231"/>
      </w:pPr>
      <w:rPr>
        <w:rFonts w:hint="default"/>
        <w:lang w:val="es-ES" w:eastAsia="en-US" w:bidi="ar-SA"/>
      </w:rPr>
    </w:lvl>
    <w:lvl w:ilvl="6">
      <w:start w:val="0"/>
      <w:numFmt w:val="bullet"/>
      <w:lvlText w:val="•"/>
      <w:lvlJc w:val="left"/>
      <w:pPr>
        <w:ind w:left="2330" w:hanging="231"/>
      </w:pPr>
      <w:rPr>
        <w:rFonts w:hint="default"/>
        <w:lang w:val="es-ES" w:eastAsia="en-US" w:bidi="ar-SA"/>
      </w:rPr>
    </w:lvl>
    <w:lvl w:ilvl="7">
      <w:start w:val="0"/>
      <w:numFmt w:val="bullet"/>
      <w:lvlText w:val="•"/>
      <w:lvlJc w:val="left"/>
      <w:pPr>
        <w:ind w:left="2702" w:hanging="231"/>
      </w:pPr>
      <w:rPr>
        <w:rFonts w:hint="default"/>
        <w:lang w:val="es-ES" w:eastAsia="en-US" w:bidi="ar-SA"/>
      </w:rPr>
    </w:lvl>
    <w:lvl w:ilvl="8">
      <w:start w:val="0"/>
      <w:numFmt w:val="bullet"/>
      <w:lvlText w:val="•"/>
      <w:lvlJc w:val="left"/>
      <w:pPr>
        <w:ind w:left="3074" w:hanging="231"/>
      </w:pPr>
      <w:rPr>
        <w:rFonts w:hint="default"/>
        <w:lang w:val="es-ES" w:eastAsia="en-US" w:bidi="ar-SA"/>
      </w:rPr>
    </w:lvl>
  </w:abstractNum>
  <w:abstractNum w:abstractNumId="27">
    <w:multiLevelType w:val="hybridMultilevel"/>
    <w:lvl w:ilvl="0">
      <w:start w:val="4"/>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16" w:hanging="231"/>
      </w:pPr>
      <w:rPr>
        <w:rFonts w:hint="default"/>
        <w:lang w:val="es-ES" w:eastAsia="en-US" w:bidi="ar-SA"/>
      </w:rPr>
    </w:lvl>
    <w:lvl w:ilvl="2">
      <w:start w:val="0"/>
      <w:numFmt w:val="bullet"/>
      <w:lvlText w:val="•"/>
      <w:lvlJc w:val="left"/>
      <w:pPr>
        <w:ind w:left="732" w:hanging="231"/>
      </w:pPr>
      <w:rPr>
        <w:rFonts w:hint="default"/>
        <w:lang w:val="es-ES" w:eastAsia="en-US" w:bidi="ar-SA"/>
      </w:rPr>
    </w:lvl>
    <w:lvl w:ilvl="3">
      <w:start w:val="0"/>
      <w:numFmt w:val="bullet"/>
      <w:lvlText w:val="•"/>
      <w:lvlJc w:val="left"/>
      <w:pPr>
        <w:ind w:left="1048" w:hanging="231"/>
      </w:pPr>
      <w:rPr>
        <w:rFonts w:hint="default"/>
        <w:lang w:val="es-ES" w:eastAsia="en-US" w:bidi="ar-SA"/>
      </w:rPr>
    </w:lvl>
    <w:lvl w:ilvl="4">
      <w:start w:val="0"/>
      <w:numFmt w:val="bullet"/>
      <w:lvlText w:val="•"/>
      <w:lvlJc w:val="left"/>
      <w:pPr>
        <w:ind w:left="1365" w:hanging="231"/>
      </w:pPr>
      <w:rPr>
        <w:rFonts w:hint="default"/>
        <w:lang w:val="es-ES" w:eastAsia="en-US" w:bidi="ar-SA"/>
      </w:rPr>
    </w:lvl>
    <w:lvl w:ilvl="5">
      <w:start w:val="0"/>
      <w:numFmt w:val="bullet"/>
      <w:lvlText w:val="•"/>
      <w:lvlJc w:val="left"/>
      <w:pPr>
        <w:ind w:left="1681" w:hanging="231"/>
      </w:pPr>
      <w:rPr>
        <w:rFonts w:hint="default"/>
        <w:lang w:val="es-ES" w:eastAsia="en-US" w:bidi="ar-SA"/>
      </w:rPr>
    </w:lvl>
    <w:lvl w:ilvl="6">
      <w:start w:val="0"/>
      <w:numFmt w:val="bullet"/>
      <w:lvlText w:val="•"/>
      <w:lvlJc w:val="left"/>
      <w:pPr>
        <w:ind w:left="1997" w:hanging="231"/>
      </w:pPr>
      <w:rPr>
        <w:rFonts w:hint="default"/>
        <w:lang w:val="es-ES" w:eastAsia="en-US" w:bidi="ar-SA"/>
      </w:rPr>
    </w:lvl>
    <w:lvl w:ilvl="7">
      <w:start w:val="0"/>
      <w:numFmt w:val="bullet"/>
      <w:lvlText w:val="•"/>
      <w:lvlJc w:val="left"/>
      <w:pPr>
        <w:ind w:left="2314" w:hanging="231"/>
      </w:pPr>
      <w:rPr>
        <w:rFonts w:hint="default"/>
        <w:lang w:val="es-ES" w:eastAsia="en-US" w:bidi="ar-SA"/>
      </w:rPr>
    </w:lvl>
    <w:lvl w:ilvl="8">
      <w:start w:val="0"/>
      <w:numFmt w:val="bullet"/>
      <w:lvlText w:val="•"/>
      <w:lvlJc w:val="left"/>
      <w:pPr>
        <w:ind w:left="2630" w:hanging="231"/>
      </w:pPr>
      <w:rPr>
        <w:rFonts w:hint="default"/>
        <w:lang w:val="es-ES" w:eastAsia="en-US" w:bidi="ar-SA"/>
      </w:rPr>
    </w:lvl>
  </w:abstractNum>
  <w:abstractNum w:abstractNumId="26">
    <w:multiLevelType w:val="hybridMultilevel"/>
    <w:lvl w:ilvl="0">
      <w:start w:val="4"/>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65" w:hanging="231"/>
      </w:pPr>
      <w:rPr>
        <w:rFonts w:hint="default"/>
        <w:lang w:val="es-ES" w:eastAsia="en-US" w:bidi="ar-SA"/>
      </w:rPr>
    </w:lvl>
    <w:lvl w:ilvl="2">
      <w:start w:val="0"/>
      <w:numFmt w:val="bullet"/>
      <w:lvlText w:val="•"/>
      <w:lvlJc w:val="left"/>
      <w:pPr>
        <w:ind w:left="830" w:hanging="231"/>
      </w:pPr>
      <w:rPr>
        <w:rFonts w:hint="default"/>
        <w:lang w:val="es-ES" w:eastAsia="en-US" w:bidi="ar-SA"/>
      </w:rPr>
    </w:lvl>
    <w:lvl w:ilvl="3">
      <w:start w:val="0"/>
      <w:numFmt w:val="bullet"/>
      <w:lvlText w:val="•"/>
      <w:lvlJc w:val="left"/>
      <w:pPr>
        <w:ind w:left="1195" w:hanging="231"/>
      </w:pPr>
      <w:rPr>
        <w:rFonts w:hint="default"/>
        <w:lang w:val="es-ES" w:eastAsia="en-US" w:bidi="ar-SA"/>
      </w:rPr>
    </w:lvl>
    <w:lvl w:ilvl="4">
      <w:start w:val="0"/>
      <w:numFmt w:val="bullet"/>
      <w:lvlText w:val="•"/>
      <w:lvlJc w:val="left"/>
      <w:pPr>
        <w:ind w:left="1561" w:hanging="231"/>
      </w:pPr>
      <w:rPr>
        <w:rFonts w:hint="default"/>
        <w:lang w:val="es-ES" w:eastAsia="en-US" w:bidi="ar-SA"/>
      </w:rPr>
    </w:lvl>
    <w:lvl w:ilvl="5">
      <w:start w:val="0"/>
      <w:numFmt w:val="bullet"/>
      <w:lvlText w:val="•"/>
      <w:lvlJc w:val="left"/>
      <w:pPr>
        <w:ind w:left="1926" w:hanging="231"/>
      </w:pPr>
      <w:rPr>
        <w:rFonts w:hint="default"/>
        <w:lang w:val="es-ES" w:eastAsia="en-US" w:bidi="ar-SA"/>
      </w:rPr>
    </w:lvl>
    <w:lvl w:ilvl="6">
      <w:start w:val="0"/>
      <w:numFmt w:val="bullet"/>
      <w:lvlText w:val="•"/>
      <w:lvlJc w:val="left"/>
      <w:pPr>
        <w:ind w:left="2291" w:hanging="231"/>
      </w:pPr>
      <w:rPr>
        <w:rFonts w:hint="default"/>
        <w:lang w:val="es-ES" w:eastAsia="en-US" w:bidi="ar-SA"/>
      </w:rPr>
    </w:lvl>
    <w:lvl w:ilvl="7">
      <w:start w:val="0"/>
      <w:numFmt w:val="bullet"/>
      <w:lvlText w:val="•"/>
      <w:lvlJc w:val="left"/>
      <w:pPr>
        <w:ind w:left="2657" w:hanging="231"/>
      </w:pPr>
      <w:rPr>
        <w:rFonts w:hint="default"/>
        <w:lang w:val="es-ES" w:eastAsia="en-US" w:bidi="ar-SA"/>
      </w:rPr>
    </w:lvl>
    <w:lvl w:ilvl="8">
      <w:start w:val="0"/>
      <w:numFmt w:val="bullet"/>
      <w:lvlText w:val="•"/>
      <w:lvlJc w:val="left"/>
      <w:pPr>
        <w:ind w:left="3022" w:hanging="231"/>
      </w:pPr>
      <w:rPr>
        <w:rFonts w:hint="default"/>
        <w:lang w:val="es-ES" w:eastAsia="en-US" w:bidi="ar-SA"/>
      </w:rPr>
    </w:lvl>
  </w:abstractNum>
  <w:abstractNum w:abstractNumId="25">
    <w:multiLevelType w:val="hybridMultilevel"/>
    <w:lvl w:ilvl="0">
      <w:start w:val="4"/>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71" w:hanging="231"/>
      </w:pPr>
      <w:rPr>
        <w:rFonts w:hint="default"/>
        <w:lang w:val="es-ES" w:eastAsia="en-US" w:bidi="ar-SA"/>
      </w:rPr>
    </w:lvl>
    <w:lvl w:ilvl="2">
      <w:start w:val="0"/>
      <w:numFmt w:val="bullet"/>
      <w:lvlText w:val="•"/>
      <w:lvlJc w:val="left"/>
      <w:pPr>
        <w:ind w:left="843" w:hanging="231"/>
      </w:pPr>
      <w:rPr>
        <w:rFonts w:hint="default"/>
        <w:lang w:val="es-ES" w:eastAsia="en-US" w:bidi="ar-SA"/>
      </w:rPr>
    </w:lvl>
    <w:lvl w:ilvl="3">
      <w:start w:val="0"/>
      <w:numFmt w:val="bullet"/>
      <w:lvlText w:val="•"/>
      <w:lvlJc w:val="left"/>
      <w:pPr>
        <w:ind w:left="1215" w:hanging="231"/>
      </w:pPr>
      <w:rPr>
        <w:rFonts w:hint="default"/>
        <w:lang w:val="es-ES" w:eastAsia="en-US" w:bidi="ar-SA"/>
      </w:rPr>
    </w:lvl>
    <w:lvl w:ilvl="4">
      <w:start w:val="0"/>
      <w:numFmt w:val="bullet"/>
      <w:lvlText w:val="•"/>
      <w:lvlJc w:val="left"/>
      <w:pPr>
        <w:ind w:left="1587" w:hanging="231"/>
      </w:pPr>
      <w:rPr>
        <w:rFonts w:hint="default"/>
        <w:lang w:val="es-ES" w:eastAsia="en-US" w:bidi="ar-SA"/>
      </w:rPr>
    </w:lvl>
    <w:lvl w:ilvl="5">
      <w:start w:val="0"/>
      <w:numFmt w:val="bullet"/>
      <w:lvlText w:val="•"/>
      <w:lvlJc w:val="left"/>
      <w:pPr>
        <w:ind w:left="1959" w:hanging="231"/>
      </w:pPr>
      <w:rPr>
        <w:rFonts w:hint="default"/>
        <w:lang w:val="es-ES" w:eastAsia="en-US" w:bidi="ar-SA"/>
      </w:rPr>
    </w:lvl>
    <w:lvl w:ilvl="6">
      <w:start w:val="0"/>
      <w:numFmt w:val="bullet"/>
      <w:lvlText w:val="•"/>
      <w:lvlJc w:val="left"/>
      <w:pPr>
        <w:ind w:left="2330" w:hanging="231"/>
      </w:pPr>
      <w:rPr>
        <w:rFonts w:hint="default"/>
        <w:lang w:val="es-ES" w:eastAsia="en-US" w:bidi="ar-SA"/>
      </w:rPr>
    </w:lvl>
    <w:lvl w:ilvl="7">
      <w:start w:val="0"/>
      <w:numFmt w:val="bullet"/>
      <w:lvlText w:val="•"/>
      <w:lvlJc w:val="left"/>
      <w:pPr>
        <w:ind w:left="2702" w:hanging="231"/>
      </w:pPr>
      <w:rPr>
        <w:rFonts w:hint="default"/>
        <w:lang w:val="es-ES" w:eastAsia="en-US" w:bidi="ar-SA"/>
      </w:rPr>
    </w:lvl>
    <w:lvl w:ilvl="8">
      <w:start w:val="0"/>
      <w:numFmt w:val="bullet"/>
      <w:lvlText w:val="•"/>
      <w:lvlJc w:val="left"/>
      <w:pPr>
        <w:ind w:left="3074" w:hanging="231"/>
      </w:pPr>
      <w:rPr>
        <w:rFonts w:hint="default"/>
        <w:lang w:val="es-ES" w:eastAsia="en-US" w:bidi="ar-SA"/>
      </w:rPr>
    </w:lvl>
  </w:abstractNum>
  <w:abstractNum w:abstractNumId="24">
    <w:multiLevelType w:val="hybridMultilevel"/>
    <w:lvl w:ilvl="0">
      <w:start w:val="1"/>
      <w:numFmt w:val="decimal"/>
      <w:lvlText w:val="%1."/>
      <w:lvlJc w:val="left"/>
      <w:pPr>
        <w:ind w:left="108" w:hanging="332"/>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16" w:hanging="332"/>
      </w:pPr>
      <w:rPr>
        <w:rFonts w:hint="default"/>
        <w:lang w:val="es-ES" w:eastAsia="en-US" w:bidi="ar-SA"/>
      </w:rPr>
    </w:lvl>
    <w:lvl w:ilvl="2">
      <w:start w:val="0"/>
      <w:numFmt w:val="bullet"/>
      <w:lvlText w:val="•"/>
      <w:lvlJc w:val="left"/>
      <w:pPr>
        <w:ind w:left="732" w:hanging="332"/>
      </w:pPr>
      <w:rPr>
        <w:rFonts w:hint="default"/>
        <w:lang w:val="es-ES" w:eastAsia="en-US" w:bidi="ar-SA"/>
      </w:rPr>
    </w:lvl>
    <w:lvl w:ilvl="3">
      <w:start w:val="0"/>
      <w:numFmt w:val="bullet"/>
      <w:lvlText w:val="•"/>
      <w:lvlJc w:val="left"/>
      <w:pPr>
        <w:ind w:left="1048" w:hanging="332"/>
      </w:pPr>
      <w:rPr>
        <w:rFonts w:hint="default"/>
        <w:lang w:val="es-ES" w:eastAsia="en-US" w:bidi="ar-SA"/>
      </w:rPr>
    </w:lvl>
    <w:lvl w:ilvl="4">
      <w:start w:val="0"/>
      <w:numFmt w:val="bullet"/>
      <w:lvlText w:val="•"/>
      <w:lvlJc w:val="left"/>
      <w:pPr>
        <w:ind w:left="1365" w:hanging="332"/>
      </w:pPr>
      <w:rPr>
        <w:rFonts w:hint="default"/>
        <w:lang w:val="es-ES" w:eastAsia="en-US" w:bidi="ar-SA"/>
      </w:rPr>
    </w:lvl>
    <w:lvl w:ilvl="5">
      <w:start w:val="0"/>
      <w:numFmt w:val="bullet"/>
      <w:lvlText w:val="•"/>
      <w:lvlJc w:val="left"/>
      <w:pPr>
        <w:ind w:left="1681" w:hanging="332"/>
      </w:pPr>
      <w:rPr>
        <w:rFonts w:hint="default"/>
        <w:lang w:val="es-ES" w:eastAsia="en-US" w:bidi="ar-SA"/>
      </w:rPr>
    </w:lvl>
    <w:lvl w:ilvl="6">
      <w:start w:val="0"/>
      <w:numFmt w:val="bullet"/>
      <w:lvlText w:val="•"/>
      <w:lvlJc w:val="left"/>
      <w:pPr>
        <w:ind w:left="1997" w:hanging="332"/>
      </w:pPr>
      <w:rPr>
        <w:rFonts w:hint="default"/>
        <w:lang w:val="es-ES" w:eastAsia="en-US" w:bidi="ar-SA"/>
      </w:rPr>
    </w:lvl>
    <w:lvl w:ilvl="7">
      <w:start w:val="0"/>
      <w:numFmt w:val="bullet"/>
      <w:lvlText w:val="•"/>
      <w:lvlJc w:val="left"/>
      <w:pPr>
        <w:ind w:left="2314" w:hanging="332"/>
      </w:pPr>
      <w:rPr>
        <w:rFonts w:hint="default"/>
        <w:lang w:val="es-ES" w:eastAsia="en-US" w:bidi="ar-SA"/>
      </w:rPr>
    </w:lvl>
    <w:lvl w:ilvl="8">
      <w:start w:val="0"/>
      <w:numFmt w:val="bullet"/>
      <w:lvlText w:val="•"/>
      <w:lvlJc w:val="left"/>
      <w:pPr>
        <w:ind w:left="2630" w:hanging="332"/>
      </w:pPr>
      <w:rPr>
        <w:rFonts w:hint="default"/>
        <w:lang w:val="es-ES" w:eastAsia="en-US" w:bidi="ar-SA"/>
      </w:rPr>
    </w:lvl>
  </w:abstractNum>
  <w:abstractNum w:abstractNumId="23">
    <w:multiLevelType w:val="hybridMultilevel"/>
    <w:lvl w:ilvl="0">
      <w:start w:val="1"/>
      <w:numFmt w:val="decimal"/>
      <w:lvlText w:val="%1."/>
      <w:lvlJc w:val="left"/>
      <w:pPr>
        <w:ind w:left="108" w:hanging="334"/>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65" w:hanging="334"/>
      </w:pPr>
      <w:rPr>
        <w:rFonts w:hint="default"/>
        <w:lang w:val="es-ES" w:eastAsia="en-US" w:bidi="ar-SA"/>
      </w:rPr>
    </w:lvl>
    <w:lvl w:ilvl="2">
      <w:start w:val="0"/>
      <w:numFmt w:val="bullet"/>
      <w:lvlText w:val="•"/>
      <w:lvlJc w:val="left"/>
      <w:pPr>
        <w:ind w:left="830" w:hanging="334"/>
      </w:pPr>
      <w:rPr>
        <w:rFonts w:hint="default"/>
        <w:lang w:val="es-ES" w:eastAsia="en-US" w:bidi="ar-SA"/>
      </w:rPr>
    </w:lvl>
    <w:lvl w:ilvl="3">
      <w:start w:val="0"/>
      <w:numFmt w:val="bullet"/>
      <w:lvlText w:val="•"/>
      <w:lvlJc w:val="left"/>
      <w:pPr>
        <w:ind w:left="1195" w:hanging="334"/>
      </w:pPr>
      <w:rPr>
        <w:rFonts w:hint="default"/>
        <w:lang w:val="es-ES" w:eastAsia="en-US" w:bidi="ar-SA"/>
      </w:rPr>
    </w:lvl>
    <w:lvl w:ilvl="4">
      <w:start w:val="0"/>
      <w:numFmt w:val="bullet"/>
      <w:lvlText w:val="•"/>
      <w:lvlJc w:val="left"/>
      <w:pPr>
        <w:ind w:left="1561" w:hanging="334"/>
      </w:pPr>
      <w:rPr>
        <w:rFonts w:hint="default"/>
        <w:lang w:val="es-ES" w:eastAsia="en-US" w:bidi="ar-SA"/>
      </w:rPr>
    </w:lvl>
    <w:lvl w:ilvl="5">
      <w:start w:val="0"/>
      <w:numFmt w:val="bullet"/>
      <w:lvlText w:val="•"/>
      <w:lvlJc w:val="left"/>
      <w:pPr>
        <w:ind w:left="1926" w:hanging="334"/>
      </w:pPr>
      <w:rPr>
        <w:rFonts w:hint="default"/>
        <w:lang w:val="es-ES" w:eastAsia="en-US" w:bidi="ar-SA"/>
      </w:rPr>
    </w:lvl>
    <w:lvl w:ilvl="6">
      <w:start w:val="0"/>
      <w:numFmt w:val="bullet"/>
      <w:lvlText w:val="•"/>
      <w:lvlJc w:val="left"/>
      <w:pPr>
        <w:ind w:left="2291" w:hanging="334"/>
      </w:pPr>
      <w:rPr>
        <w:rFonts w:hint="default"/>
        <w:lang w:val="es-ES" w:eastAsia="en-US" w:bidi="ar-SA"/>
      </w:rPr>
    </w:lvl>
    <w:lvl w:ilvl="7">
      <w:start w:val="0"/>
      <w:numFmt w:val="bullet"/>
      <w:lvlText w:val="•"/>
      <w:lvlJc w:val="left"/>
      <w:pPr>
        <w:ind w:left="2657" w:hanging="334"/>
      </w:pPr>
      <w:rPr>
        <w:rFonts w:hint="default"/>
        <w:lang w:val="es-ES" w:eastAsia="en-US" w:bidi="ar-SA"/>
      </w:rPr>
    </w:lvl>
    <w:lvl w:ilvl="8">
      <w:start w:val="0"/>
      <w:numFmt w:val="bullet"/>
      <w:lvlText w:val="•"/>
      <w:lvlJc w:val="left"/>
      <w:pPr>
        <w:ind w:left="3022" w:hanging="334"/>
      </w:pPr>
      <w:rPr>
        <w:rFonts w:hint="default"/>
        <w:lang w:val="es-ES" w:eastAsia="en-US" w:bidi="ar-SA"/>
      </w:rPr>
    </w:lvl>
  </w:abstractNum>
  <w:abstractNum w:abstractNumId="22">
    <w:multiLevelType w:val="hybridMultilevel"/>
    <w:lvl w:ilvl="0">
      <w:start w:val="2"/>
      <w:numFmt w:val="decimal"/>
      <w:lvlText w:val="%1."/>
      <w:lvlJc w:val="left"/>
      <w:pPr>
        <w:ind w:left="108" w:hanging="231"/>
        <w:jc w:val="left"/>
      </w:pPr>
      <w:rPr>
        <w:rFonts w:hint="default" w:ascii="Tahoma" w:hAnsi="Tahoma" w:eastAsia="Tahoma" w:cs="Tahoma"/>
        <w:spacing w:val="-1"/>
        <w:w w:val="99"/>
        <w:sz w:val="20"/>
        <w:szCs w:val="20"/>
        <w:lang w:val="es-ES" w:eastAsia="en-US" w:bidi="ar-SA"/>
      </w:rPr>
    </w:lvl>
    <w:lvl w:ilvl="1">
      <w:start w:val="0"/>
      <w:numFmt w:val="bullet"/>
      <w:lvlText w:val="•"/>
      <w:lvlJc w:val="left"/>
      <w:pPr>
        <w:ind w:left="471" w:hanging="231"/>
      </w:pPr>
      <w:rPr>
        <w:rFonts w:hint="default"/>
        <w:lang w:val="es-ES" w:eastAsia="en-US" w:bidi="ar-SA"/>
      </w:rPr>
    </w:lvl>
    <w:lvl w:ilvl="2">
      <w:start w:val="0"/>
      <w:numFmt w:val="bullet"/>
      <w:lvlText w:val="•"/>
      <w:lvlJc w:val="left"/>
      <w:pPr>
        <w:ind w:left="843" w:hanging="231"/>
      </w:pPr>
      <w:rPr>
        <w:rFonts w:hint="default"/>
        <w:lang w:val="es-ES" w:eastAsia="en-US" w:bidi="ar-SA"/>
      </w:rPr>
    </w:lvl>
    <w:lvl w:ilvl="3">
      <w:start w:val="0"/>
      <w:numFmt w:val="bullet"/>
      <w:lvlText w:val="•"/>
      <w:lvlJc w:val="left"/>
      <w:pPr>
        <w:ind w:left="1215" w:hanging="231"/>
      </w:pPr>
      <w:rPr>
        <w:rFonts w:hint="default"/>
        <w:lang w:val="es-ES" w:eastAsia="en-US" w:bidi="ar-SA"/>
      </w:rPr>
    </w:lvl>
    <w:lvl w:ilvl="4">
      <w:start w:val="0"/>
      <w:numFmt w:val="bullet"/>
      <w:lvlText w:val="•"/>
      <w:lvlJc w:val="left"/>
      <w:pPr>
        <w:ind w:left="1587" w:hanging="231"/>
      </w:pPr>
      <w:rPr>
        <w:rFonts w:hint="default"/>
        <w:lang w:val="es-ES" w:eastAsia="en-US" w:bidi="ar-SA"/>
      </w:rPr>
    </w:lvl>
    <w:lvl w:ilvl="5">
      <w:start w:val="0"/>
      <w:numFmt w:val="bullet"/>
      <w:lvlText w:val="•"/>
      <w:lvlJc w:val="left"/>
      <w:pPr>
        <w:ind w:left="1959" w:hanging="231"/>
      </w:pPr>
      <w:rPr>
        <w:rFonts w:hint="default"/>
        <w:lang w:val="es-ES" w:eastAsia="en-US" w:bidi="ar-SA"/>
      </w:rPr>
    </w:lvl>
    <w:lvl w:ilvl="6">
      <w:start w:val="0"/>
      <w:numFmt w:val="bullet"/>
      <w:lvlText w:val="•"/>
      <w:lvlJc w:val="left"/>
      <w:pPr>
        <w:ind w:left="2330" w:hanging="231"/>
      </w:pPr>
      <w:rPr>
        <w:rFonts w:hint="default"/>
        <w:lang w:val="es-ES" w:eastAsia="en-US" w:bidi="ar-SA"/>
      </w:rPr>
    </w:lvl>
    <w:lvl w:ilvl="7">
      <w:start w:val="0"/>
      <w:numFmt w:val="bullet"/>
      <w:lvlText w:val="•"/>
      <w:lvlJc w:val="left"/>
      <w:pPr>
        <w:ind w:left="2702" w:hanging="231"/>
      </w:pPr>
      <w:rPr>
        <w:rFonts w:hint="default"/>
        <w:lang w:val="es-ES" w:eastAsia="en-US" w:bidi="ar-SA"/>
      </w:rPr>
    </w:lvl>
    <w:lvl w:ilvl="8">
      <w:start w:val="0"/>
      <w:numFmt w:val="bullet"/>
      <w:lvlText w:val="•"/>
      <w:lvlJc w:val="left"/>
      <w:pPr>
        <w:ind w:left="3074" w:hanging="231"/>
      </w:pPr>
      <w:rPr>
        <w:rFonts w:hint="default"/>
        <w:lang w:val="es-ES" w:eastAsia="en-US" w:bidi="ar-SA"/>
      </w:rPr>
    </w:lvl>
  </w:abstractNum>
  <w:abstractNum w:abstractNumId="21">
    <w:multiLevelType w:val="hybridMultilevel"/>
    <w:lvl w:ilvl="0">
      <w:start w:val="1"/>
      <w:numFmt w:val="lowerLetter"/>
      <w:lvlText w:val="%1)"/>
      <w:lvlJc w:val="left"/>
      <w:pPr>
        <w:ind w:left="1300" w:hanging="361"/>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2150" w:hanging="361"/>
      </w:pPr>
      <w:rPr>
        <w:rFonts w:hint="default"/>
        <w:lang w:val="es-ES" w:eastAsia="en-US" w:bidi="ar-SA"/>
      </w:rPr>
    </w:lvl>
    <w:lvl w:ilvl="2">
      <w:start w:val="0"/>
      <w:numFmt w:val="bullet"/>
      <w:lvlText w:val="•"/>
      <w:lvlJc w:val="left"/>
      <w:pPr>
        <w:ind w:left="3000" w:hanging="361"/>
      </w:pPr>
      <w:rPr>
        <w:rFonts w:hint="default"/>
        <w:lang w:val="es-ES" w:eastAsia="en-US" w:bidi="ar-SA"/>
      </w:rPr>
    </w:lvl>
    <w:lvl w:ilvl="3">
      <w:start w:val="0"/>
      <w:numFmt w:val="bullet"/>
      <w:lvlText w:val="•"/>
      <w:lvlJc w:val="left"/>
      <w:pPr>
        <w:ind w:left="3850" w:hanging="361"/>
      </w:pPr>
      <w:rPr>
        <w:rFonts w:hint="default"/>
        <w:lang w:val="es-ES" w:eastAsia="en-US" w:bidi="ar-SA"/>
      </w:rPr>
    </w:lvl>
    <w:lvl w:ilvl="4">
      <w:start w:val="0"/>
      <w:numFmt w:val="bullet"/>
      <w:lvlText w:val="•"/>
      <w:lvlJc w:val="left"/>
      <w:pPr>
        <w:ind w:left="4700" w:hanging="361"/>
      </w:pPr>
      <w:rPr>
        <w:rFonts w:hint="default"/>
        <w:lang w:val="es-ES" w:eastAsia="en-US" w:bidi="ar-SA"/>
      </w:rPr>
    </w:lvl>
    <w:lvl w:ilvl="5">
      <w:start w:val="0"/>
      <w:numFmt w:val="bullet"/>
      <w:lvlText w:val="•"/>
      <w:lvlJc w:val="left"/>
      <w:pPr>
        <w:ind w:left="5550" w:hanging="361"/>
      </w:pPr>
      <w:rPr>
        <w:rFonts w:hint="default"/>
        <w:lang w:val="es-ES" w:eastAsia="en-US" w:bidi="ar-SA"/>
      </w:rPr>
    </w:lvl>
    <w:lvl w:ilvl="6">
      <w:start w:val="0"/>
      <w:numFmt w:val="bullet"/>
      <w:lvlText w:val="•"/>
      <w:lvlJc w:val="left"/>
      <w:pPr>
        <w:ind w:left="6400" w:hanging="361"/>
      </w:pPr>
      <w:rPr>
        <w:rFonts w:hint="default"/>
        <w:lang w:val="es-ES" w:eastAsia="en-US" w:bidi="ar-SA"/>
      </w:rPr>
    </w:lvl>
    <w:lvl w:ilvl="7">
      <w:start w:val="0"/>
      <w:numFmt w:val="bullet"/>
      <w:lvlText w:val="•"/>
      <w:lvlJc w:val="left"/>
      <w:pPr>
        <w:ind w:left="7250" w:hanging="361"/>
      </w:pPr>
      <w:rPr>
        <w:rFonts w:hint="default"/>
        <w:lang w:val="es-ES" w:eastAsia="en-US" w:bidi="ar-SA"/>
      </w:rPr>
    </w:lvl>
    <w:lvl w:ilvl="8">
      <w:start w:val="0"/>
      <w:numFmt w:val="bullet"/>
      <w:lvlText w:val="•"/>
      <w:lvlJc w:val="left"/>
      <w:pPr>
        <w:ind w:left="8100" w:hanging="361"/>
      </w:pPr>
      <w:rPr>
        <w:rFonts w:hint="default"/>
        <w:lang w:val="es-ES" w:eastAsia="en-US" w:bidi="ar-SA"/>
      </w:rPr>
    </w:lvl>
  </w:abstractNum>
  <w:abstractNum w:abstractNumId="20">
    <w:multiLevelType w:val="hybridMultilevel"/>
    <w:lvl w:ilvl="0">
      <w:start w:val="1"/>
      <w:numFmt w:val="lowerRoman"/>
      <w:lvlText w:val="(%1)"/>
      <w:lvlJc w:val="left"/>
      <w:pPr>
        <w:ind w:left="647" w:hanging="402"/>
        <w:jc w:val="left"/>
      </w:pPr>
      <w:rPr>
        <w:rFonts w:hint="default" w:ascii="Tahoma" w:hAnsi="Tahoma" w:eastAsia="Tahoma" w:cs="Tahoma"/>
        <w:w w:val="99"/>
        <w:sz w:val="23"/>
        <w:szCs w:val="23"/>
        <w:lang w:val="es-ES" w:eastAsia="en-US" w:bidi="ar-SA"/>
      </w:rPr>
    </w:lvl>
    <w:lvl w:ilvl="1">
      <w:start w:val="0"/>
      <w:numFmt w:val="bullet"/>
      <w:lvlText w:val="•"/>
      <w:lvlJc w:val="left"/>
      <w:pPr>
        <w:ind w:left="940" w:hanging="190"/>
      </w:pPr>
      <w:rPr>
        <w:rFonts w:hint="default" w:ascii="Tahoma" w:hAnsi="Tahoma" w:eastAsia="Tahoma" w:cs="Tahoma"/>
        <w:w w:val="99"/>
        <w:sz w:val="23"/>
        <w:szCs w:val="23"/>
        <w:lang w:val="es-ES" w:eastAsia="en-US" w:bidi="ar-SA"/>
      </w:rPr>
    </w:lvl>
    <w:lvl w:ilvl="2">
      <w:start w:val="0"/>
      <w:numFmt w:val="bullet"/>
      <w:lvlText w:val="•"/>
      <w:lvlJc w:val="left"/>
      <w:pPr>
        <w:ind w:left="1924" w:hanging="190"/>
      </w:pPr>
      <w:rPr>
        <w:rFonts w:hint="default"/>
        <w:lang w:val="es-ES" w:eastAsia="en-US" w:bidi="ar-SA"/>
      </w:rPr>
    </w:lvl>
    <w:lvl w:ilvl="3">
      <w:start w:val="0"/>
      <w:numFmt w:val="bullet"/>
      <w:lvlText w:val="•"/>
      <w:lvlJc w:val="left"/>
      <w:pPr>
        <w:ind w:left="2908" w:hanging="190"/>
      </w:pPr>
      <w:rPr>
        <w:rFonts w:hint="default"/>
        <w:lang w:val="es-ES" w:eastAsia="en-US" w:bidi="ar-SA"/>
      </w:rPr>
    </w:lvl>
    <w:lvl w:ilvl="4">
      <w:start w:val="0"/>
      <w:numFmt w:val="bullet"/>
      <w:lvlText w:val="•"/>
      <w:lvlJc w:val="left"/>
      <w:pPr>
        <w:ind w:left="3893" w:hanging="190"/>
      </w:pPr>
      <w:rPr>
        <w:rFonts w:hint="default"/>
        <w:lang w:val="es-ES" w:eastAsia="en-US" w:bidi="ar-SA"/>
      </w:rPr>
    </w:lvl>
    <w:lvl w:ilvl="5">
      <w:start w:val="0"/>
      <w:numFmt w:val="bullet"/>
      <w:lvlText w:val="•"/>
      <w:lvlJc w:val="left"/>
      <w:pPr>
        <w:ind w:left="4877" w:hanging="190"/>
      </w:pPr>
      <w:rPr>
        <w:rFonts w:hint="default"/>
        <w:lang w:val="es-ES" w:eastAsia="en-US" w:bidi="ar-SA"/>
      </w:rPr>
    </w:lvl>
    <w:lvl w:ilvl="6">
      <w:start w:val="0"/>
      <w:numFmt w:val="bullet"/>
      <w:lvlText w:val="•"/>
      <w:lvlJc w:val="left"/>
      <w:pPr>
        <w:ind w:left="5862" w:hanging="190"/>
      </w:pPr>
      <w:rPr>
        <w:rFonts w:hint="default"/>
        <w:lang w:val="es-ES" w:eastAsia="en-US" w:bidi="ar-SA"/>
      </w:rPr>
    </w:lvl>
    <w:lvl w:ilvl="7">
      <w:start w:val="0"/>
      <w:numFmt w:val="bullet"/>
      <w:lvlText w:val="•"/>
      <w:lvlJc w:val="left"/>
      <w:pPr>
        <w:ind w:left="6846" w:hanging="190"/>
      </w:pPr>
      <w:rPr>
        <w:rFonts w:hint="default"/>
        <w:lang w:val="es-ES" w:eastAsia="en-US" w:bidi="ar-SA"/>
      </w:rPr>
    </w:lvl>
    <w:lvl w:ilvl="8">
      <w:start w:val="0"/>
      <w:numFmt w:val="bullet"/>
      <w:lvlText w:val="•"/>
      <w:lvlJc w:val="left"/>
      <w:pPr>
        <w:ind w:left="7831" w:hanging="190"/>
      </w:pPr>
      <w:rPr>
        <w:rFonts w:hint="default"/>
        <w:lang w:val="es-ES" w:eastAsia="en-US" w:bidi="ar-SA"/>
      </w:rPr>
    </w:lvl>
  </w:abstractNum>
  <w:abstractNum w:abstractNumId="19">
    <w:multiLevelType w:val="hybridMultilevel"/>
    <w:lvl w:ilvl="0">
      <w:start w:val="0"/>
      <w:numFmt w:val="bullet"/>
      <w:lvlText w:val="-"/>
      <w:lvlJc w:val="left"/>
      <w:pPr>
        <w:ind w:left="220" w:hanging="157"/>
      </w:pPr>
      <w:rPr>
        <w:rFonts w:hint="default" w:ascii="Tahoma" w:hAnsi="Tahoma" w:eastAsia="Tahoma" w:cs="Tahoma"/>
        <w:w w:val="100"/>
        <w:sz w:val="23"/>
        <w:szCs w:val="23"/>
        <w:lang w:val="es-ES" w:eastAsia="en-US" w:bidi="ar-SA"/>
      </w:rPr>
    </w:lvl>
    <w:lvl w:ilvl="1">
      <w:start w:val="0"/>
      <w:numFmt w:val="bullet"/>
      <w:lvlText w:val="•"/>
      <w:lvlJc w:val="left"/>
      <w:pPr>
        <w:ind w:left="1178" w:hanging="157"/>
      </w:pPr>
      <w:rPr>
        <w:rFonts w:hint="default"/>
        <w:lang w:val="es-ES" w:eastAsia="en-US" w:bidi="ar-SA"/>
      </w:rPr>
    </w:lvl>
    <w:lvl w:ilvl="2">
      <w:start w:val="0"/>
      <w:numFmt w:val="bullet"/>
      <w:lvlText w:val="•"/>
      <w:lvlJc w:val="left"/>
      <w:pPr>
        <w:ind w:left="2136" w:hanging="157"/>
      </w:pPr>
      <w:rPr>
        <w:rFonts w:hint="default"/>
        <w:lang w:val="es-ES" w:eastAsia="en-US" w:bidi="ar-SA"/>
      </w:rPr>
    </w:lvl>
    <w:lvl w:ilvl="3">
      <w:start w:val="0"/>
      <w:numFmt w:val="bullet"/>
      <w:lvlText w:val="•"/>
      <w:lvlJc w:val="left"/>
      <w:pPr>
        <w:ind w:left="3094" w:hanging="157"/>
      </w:pPr>
      <w:rPr>
        <w:rFonts w:hint="default"/>
        <w:lang w:val="es-ES" w:eastAsia="en-US" w:bidi="ar-SA"/>
      </w:rPr>
    </w:lvl>
    <w:lvl w:ilvl="4">
      <w:start w:val="0"/>
      <w:numFmt w:val="bullet"/>
      <w:lvlText w:val="•"/>
      <w:lvlJc w:val="left"/>
      <w:pPr>
        <w:ind w:left="4052" w:hanging="157"/>
      </w:pPr>
      <w:rPr>
        <w:rFonts w:hint="default"/>
        <w:lang w:val="es-ES" w:eastAsia="en-US" w:bidi="ar-SA"/>
      </w:rPr>
    </w:lvl>
    <w:lvl w:ilvl="5">
      <w:start w:val="0"/>
      <w:numFmt w:val="bullet"/>
      <w:lvlText w:val="•"/>
      <w:lvlJc w:val="left"/>
      <w:pPr>
        <w:ind w:left="5010" w:hanging="157"/>
      </w:pPr>
      <w:rPr>
        <w:rFonts w:hint="default"/>
        <w:lang w:val="es-ES" w:eastAsia="en-US" w:bidi="ar-SA"/>
      </w:rPr>
    </w:lvl>
    <w:lvl w:ilvl="6">
      <w:start w:val="0"/>
      <w:numFmt w:val="bullet"/>
      <w:lvlText w:val="•"/>
      <w:lvlJc w:val="left"/>
      <w:pPr>
        <w:ind w:left="5968" w:hanging="157"/>
      </w:pPr>
      <w:rPr>
        <w:rFonts w:hint="default"/>
        <w:lang w:val="es-ES" w:eastAsia="en-US" w:bidi="ar-SA"/>
      </w:rPr>
    </w:lvl>
    <w:lvl w:ilvl="7">
      <w:start w:val="0"/>
      <w:numFmt w:val="bullet"/>
      <w:lvlText w:val="•"/>
      <w:lvlJc w:val="left"/>
      <w:pPr>
        <w:ind w:left="6926" w:hanging="157"/>
      </w:pPr>
      <w:rPr>
        <w:rFonts w:hint="default"/>
        <w:lang w:val="es-ES" w:eastAsia="en-US" w:bidi="ar-SA"/>
      </w:rPr>
    </w:lvl>
    <w:lvl w:ilvl="8">
      <w:start w:val="0"/>
      <w:numFmt w:val="bullet"/>
      <w:lvlText w:val="•"/>
      <w:lvlJc w:val="left"/>
      <w:pPr>
        <w:ind w:left="7884" w:hanging="157"/>
      </w:pPr>
      <w:rPr>
        <w:rFonts w:hint="default"/>
        <w:lang w:val="es-ES" w:eastAsia="en-US" w:bidi="ar-SA"/>
      </w:rPr>
    </w:lvl>
  </w:abstractNum>
  <w:abstractNum w:abstractNumId="18">
    <w:multiLevelType w:val="hybridMultilevel"/>
    <w:lvl w:ilvl="0">
      <w:start w:val="1"/>
      <w:numFmt w:val="decimal"/>
      <w:lvlText w:val="%1."/>
      <w:lvlJc w:val="left"/>
      <w:pPr>
        <w:ind w:left="486" w:hanging="267"/>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412" w:hanging="267"/>
      </w:pPr>
      <w:rPr>
        <w:rFonts w:hint="default"/>
        <w:lang w:val="es-ES" w:eastAsia="en-US" w:bidi="ar-SA"/>
      </w:rPr>
    </w:lvl>
    <w:lvl w:ilvl="2">
      <w:start w:val="0"/>
      <w:numFmt w:val="bullet"/>
      <w:lvlText w:val="•"/>
      <w:lvlJc w:val="left"/>
      <w:pPr>
        <w:ind w:left="2344" w:hanging="267"/>
      </w:pPr>
      <w:rPr>
        <w:rFonts w:hint="default"/>
        <w:lang w:val="es-ES" w:eastAsia="en-US" w:bidi="ar-SA"/>
      </w:rPr>
    </w:lvl>
    <w:lvl w:ilvl="3">
      <w:start w:val="0"/>
      <w:numFmt w:val="bullet"/>
      <w:lvlText w:val="•"/>
      <w:lvlJc w:val="left"/>
      <w:pPr>
        <w:ind w:left="3276" w:hanging="267"/>
      </w:pPr>
      <w:rPr>
        <w:rFonts w:hint="default"/>
        <w:lang w:val="es-ES" w:eastAsia="en-US" w:bidi="ar-SA"/>
      </w:rPr>
    </w:lvl>
    <w:lvl w:ilvl="4">
      <w:start w:val="0"/>
      <w:numFmt w:val="bullet"/>
      <w:lvlText w:val="•"/>
      <w:lvlJc w:val="left"/>
      <w:pPr>
        <w:ind w:left="4208" w:hanging="267"/>
      </w:pPr>
      <w:rPr>
        <w:rFonts w:hint="default"/>
        <w:lang w:val="es-ES" w:eastAsia="en-US" w:bidi="ar-SA"/>
      </w:rPr>
    </w:lvl>
    <w:lvl w:ilvl="5">
      <w:start w:val="0"/>
      <w:numFmt w:val="bullet"/>
      <w:lvlText w:val="•"/>
      <w:lvlJc w:val="left"/>
      <w:pPr>
        <w:ind w:left="5140" w:hanging="267"/>
      </w:pPr>
      <w:rPr>
        <w:rFonts w:hint="default"/>
        <w:lang w:val="es-ES" w:eastAsia="en-US" w:bidi="ar-SA"/>
      </w:rPr>
    </w:lvl>
    <w:lvl w:ilvl="6">
      <w:start w:val="0"/>
      <w:numFmt w:val="bullet"/>
      <w:lvlText w:val="•"/>
      <w:lvlJc w:val="left"/>
      <w:pPr>
        <w:ind w:left="6072" w:hanging="267"/>
      </w:pPr>
      <w:rPr>
        <w:rFonts w:hint="default"/>
        <w:lang w:val="es-ES" w:eastAsia="en-US" w:bidi="ar-SA"/>
      </w:rPr>
    </w:lvl>
    <w:lvl w:ilvl="7">
      <w:start w:val="0"/>
      <w:numFmt w:val="bullet"/>
      <w:lvlText w:val="•"/>
      <w:lvlJc w:val="left"/>
      <w:pPr>
        <w:ind w:left="7004" w:hanging="267"/>
      </w:pPr>
      <w:rPr>
        <w:rFonts w:hint="default"/>
        <w:lang w:val="es-ES" w:eastAsia="en-US" w:bidi="ar-SA"/>
      </w:rPr>
    </w:lvl>
    <w:lvl w:ilvl="8">
      <w:start w:val="0"/>
      <w:numFmt w:val="bullet"/>
      <w:lvlText w:val="•"/>
      <w:lvlJc w:val="left"/>
      <w:pPr>
        <w:ind w:left="7936" w:hanging="267"/>
      </w:pPr>
      <w:rPr>
        <w:rFonts w:hint="default"/>
        <w:lang w:val="es-ES" w:eastAsia="en-US" w:bidi="ar-SA"/>
      </w:rPr>
    </w:lvl>
  </w:abstractNum>
  <w:abstractNum w:abstractNumId="17">
    <w:multiLevelType w:val="hybridMultilevel"/>
    <w:lvl w:ilvl="0">
      <w:start w:val="1"/>
      <w:numFmt w:val="decimal"/>
      <w:lvlText w:val="%1."/>
      <w:lvlJc w:val="left"/>
      <w:pPr>
        <w:ind w:left="786" w:hanging="567"/>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1682" w:hanging="567"/>
      </w:pPr>
      <w:rPr>
        <w:rFonts w:hint="default"/>
        <w:lang w:val="es-ES" w:eastAsia="en-US" w:bidi="ar-SA"/>
      </w:rPr>
    </w:lvl>
    <w:lvl w:ilvl="2">
      <w:start w:val="0"/>
      <w:numFmt w:val="bullet"/>
      <w:lvlText w:val="•"/>
      <w:lvlJc w:val="left"/>
      <w:pPr>
        <w:ind w:left="2584" w:hanging="567"/>
      </w:pPr>
      <w:rPr>
        <w:rFonts w:hint="default"/>
        <w:lang w:val="es-ES" w:eastAsia="en-US" w:bidi="ar-SA"/>
      </w:rPr>
    </w:lvl>
    <w:lvl w:ilvl="3">
      <w:start w:val="0"/>
      <w:numFmt w:val="bullet"/>
      <w:lvlText w:val="•"/>
      <w:lvlJc w:val="left"/>
      <w:pPr>
        <w:ind w:left="3486" w:hanging="567"/>
      </w:pPr>
      <w:rPr>
        <w:rFonts w:hint="default"/>
        <w:lang w:val="es-ES" w:eastAsia="en-US" w:bidi="ar-SA"/>
      </w:rPr>
    </w:lvl>
    <w:lvl w:ilvl="4">
      <w:start w:val="0"/>
      <w:numFmt w:val="bullet"/>
      <w:lvlText w:val="•"/>
      <w:lvlJc w:val="left"/>
      <w:pPr>
        <w:ind w:left="4388" w:hanging="567"/>
      </w:pPr>
      <w:rPr>
        <w:rFonts w:hint="default"/>
        <w:lang w:val="es-ES" w:eastAsia="en-US" w:bidi="ar-SA"/>
      </w:rPr>
    </w:lvl>
    <w:lvl w:ilvl="5">
      <w:start w:val="0"/>
      <w:numFmt w:val="bullet"/>
      <w:lvlText w:val="•"/>
      <w:lvlJc w:val="left"/>
      <w:pPr>
        <w:ind w:left="5290" w:hanging="567"/>
      </w:pPr>
      <w:rPr>
        <w:rFonts w:hint="default"/>
        <w:lang w:val="es-ES" w:eastAsia="en-US" w:bidi="ar-SA"/>
      </w:rPr>
    </w:lvl>
    <w:lvl w:ilvl="6">
      <w:start w:val="0"/>
      <w:numFmt w:val="bullet"/>
      <w:lvlText w:val="•"/>
      <w:lvlJc w:val="left"/>
      <w:pPr>
        <w:ind w:left="6192" w:hanging="567"/>
      </w:pPr>
      <w:rPr>
        <w:rFonts w:hint="default"/>
        <w:lang w:val="es-ES" w:eastAsia="en-US" w:bidi="ar-SA"/>
      </w:rPr>
    </w:lvl>
    <w:lvl w:ilvl="7">
      <w:start w:val="0"/>
      <w:numFmt w:val="bullet"/>
      <w:lvlText w:val="•"/>
      <w:lvlJc w:val="left"/>
      <w:pPr>
        <w:ind w:left="7094" w:hanging="567"/>
      </w:pPr>
      <w:rPr>
        <w:rFonts w:hint="default"/>
        <w:lang w:val="es-ES" w:eastAsia="en-US" w:bidi="ar-SA"/>
      </w:rPr>
    </w:lvl>
    <w:lvl w:ilvl="8">
      <w:start w:val="0"/>
      <w:numFmt w:val="bullet"/>
      <w:lvlText w:val="•"/>
      <w:lvlJc w:val="left"/>
      <w:pPr>
        <w:ind w:left="7996" w:hanging="567"/>
      </w:pPr>
      <w:rPr>
        <w:rFonts w:hint="default"/>
        <w:lang w:val="es-ES" w:eastAsia="en-US" w:bidi="ar-SA"/>
      </w:rPr>
    </w:lvl>
  </w:abstractNum>
  <w:abstractNum w:abstractNumId="16">
    <w:multiLevelType w:val="hybridMultilevel"/>
    <w:lvl w:ilvl="0">
      <w:start w:val="3"/>
      <w:numFmt w:val="decimal"/>
      <w:lvlText w:val="%1"/>
      <w:lvlJc w:val="left"/>
      <w:pPr>
        <w:ind w:left="928" w:hanging="708"/>
        <w:jc w:val="left"/>
      </w:pPr>
      <w:rPr>
        <w:rFonts w:hint="default"/>
        <w:lang w:val="es-ES" w:eastAsia="en-US" w:bidi="ar-SA"/>
      </w:rPr>
    </w:lvl>
    <w:lvl w:ilvl="1">
      <w:start w:val="1"/>
      <w:numFmt w:val="decimal"/>
      <w:lvlText w:val="%1.%2"/>
      <w:lvlJc w:val="left"/>
      <w:pPr>
        <w:ind w:left="928" w:hanging="708"/>
        <w:jc w:val="left"/>
      </w:pPr>
      <w:rPr>
        <w:rFonts w:hint="default" w:ascii="Verdana" w:hAnsi="Verdana" w:eastAsia="Verdana" w:cs="Verdana"/>
        <w:b/>
        <w:bCs/>
        <w:w w:val="99"/>
        <w:sz w:val="26"/>
        <w:szCs w:val="26"/>
        <w:lang w:val="es-ES" w:eastAsia="en-US" w:bidi="ar-SA"/>
      </w:rPr>
    </w:lvl>
    <w:lvl w:ilvl="2">
      <w:start w:val="1"/>
      <w:numFmt w:val="decimal"/>
      <w:lvlText w:val="%1.%2.%3"/>
      <w:lvlJc w:val="left"/>
      <w:pPr>
        <w:ind w:left="1320" w:hanging="1080"/>
        <w:jc w:val="left"/>
      </w:pPr>
      <w:rPr>
        <w:rFonts w:hint="default"/>
        <w:b/>
        <w:bCs/>
        <w:spacing w:val="-1"/>
        <w:w w:val="99"/>
        <w:lang w:val="es-ES" w:eastAsia="en-US" w:bidi="ar-SA"/>
      </w:rPr>
    </w:lvl>
    <w:lvl w:ilvl="3">
      <w:start w:val="0"/>
      <w:numFmt w:val="bullet"/>
      <w:lvlText w:val=""/>
      <w:lvlJc w:val="left"/>
      <w:pPr>
        <w:ind w:left="960" w:hanging="1080"/>
      </w:pPr>
      <w:rPr>
        <w:rFonts w:hint="default" w:ascii="Symbol" w:hAnsi="Symbol" w:eastAsia="Symbol" w:cs="Symbol"/>
        <w:w w:val="99"/>
        <w:sz w:val="23"/>
        <w:szCs w:val="23"/>
        <w:lang w:val="es-ES" w:eastAsia="en-US" w:bidi="ar-SA"/>
      </w:rPr>
    </w:lvl>
    <w:lvl w:ilvl="4">
      <w:start w:val="0"/>
      <w:numFmt w:val="bullet"/>
      <w:lvlText w:val="•"/>
      <w:lvlJc w:val="left"/>
      <w:pPr>
        <w:ind w:left="2531" w:hanging="1080"/>
      </w:pPr>
      <w:rPr>
        <w:rFonts w:hint="default"/>
        <w:lang w:val="es-ES" w:eastAsia="en-US" w:bidi="ar-SA"/>
      </w:rPr>
    </w:lvl>
    <w:lvl w:ilvl="5">
      <w:start w:val="0"/>
      <w:numFmt w:val="bullet"/>
      <w:lvlText w:val="•"/>
      <w:lvlJc w:val="left"/>
      <w:pPr>
        <w:ind w:left="3742" w:hanging="1080"/>
      </w:pPr>
      <w:rPr>
        <w:rFonts w:hint="default"/>
        <w:lang w:val="es-ES" w:eastAsia="en-US" w:bidi="ar-SA"/>
      </w:rPr>
    </w:lvl>
    <w:lvl w:ilvl="6">
      <w:start w:val="0"/>
      <w:numFmt w:val="bullet"/>
      <w:lvlText w:val="•"/>
      <w:lvlJc w:val="left"/>
      <w:pPr>
        <w:ind w:left="4954" w:hanging="1080"/>
      </w:pPr>
      <w:rPr>
        <w:rFonts w:hint="default"/>
        <w:lang w:val="es-ES" w:eastAsia="en-US" w:bidi="ar-SA"/>
      </w:rPr>
    </w:lvl>
    <w:lvl w:ilvl="7">
      <w:start w:val="0"/>
      <w:numFmt w:val="bullet"/>
      <w:lvlText w:val="•"/>
      <w:lvlJc w:val="left"/>
      <w:pPr>
        <w:ind w:left="6165" w:hanging="1080"/>
      </w:pPr>
      <w:rPr>
        <w:rFonts w:hint="default"/>
        <w:lang w:val="es-ES" w:eastAsia="en-US" w:bidi="ar-SA"/>
      </w:rPr>
    </w:lvl>
    <w:lvl w:ilvl="8">
      <w:start w:val="0"/>
      <w:numFmt w:val="bullet"/>
      <w:lvlText w:val="•"/>
      <w:lvlJc w:val="left"/>
      <w:pPr>
        <w:ind w:left="7377" w:hanging="1080"/>
      </w:pPr>
      <w:rPr>
        <w:rFonts w:hint="default"/>
        <w:lang w:val="es-ES" w:eastAsia="en-US" w:bidi="ar-SA"/>
      </w:rPr>
    </w:lvl>
  </w:abstractNum>
  <w:abstractNum w:abstractNumId="15">
    <w:multiLevelType w:val="hybridMultilevel"/>
    <w:lvl w:ilvl="0">
      <w:start w:val="12"/>
      <w:numFmt w:val="decimal"/>
      <w:lvlText w:val="%1"/>
      <w:lvlJc w:val="left"/>
      <w:pPr>
        <w:ind w:left="219" w:hanging="281"/>
        <w:jc w:val="left"/>
      </w:pPr>
      <w:rPr>
        <w:rFonts w:hint="default" w:ascii="Tahoma" w:hAnsi="Tahoma" w:eastAsia="Tahoma" w:cs="Tahoma"/>
        <w:spacing w:val="0"/>
        <w:w w:val="100"/>
        <w:position w:val="11"/>
        <w:sz w:val="16"/>
        <w:szCs w:val="16"/>
        <w:lang w:val="es-ES" w:eastAsia="en-US" w:bidi="ar-SA"/>
      </w:rPr>
    </w:lvl>
    <w:lvl w:ilvl="1">
      <w:start w:val="0"/>
      <w:numFmt w:val="bullet"/>
      <w:lvlText w:val=""/>
      <w:lvlJc w:val="left"/>
      <w:pPr>
        <w:ind w:left="940" w:hanging="360"/>
      </w:pPr>
      <w:rPr>
        <w:rFonts w:hint="default" w:ascii="Symbol" w:hAnsi="Symbol" w:eastAsia="Symbol" w:cs="Symbol"/>
        <w:w w:val="99"/>
        <w:sz w:val="23"/>
        <w:szCs w:val="23"/>
        <w:lang w:val="es-ES" w:eastAsia="en-US" w:bidi="ar-SA"/>
      </w:rPr>
    </w:lvl>
    <w:lvl w:ilvl="2">
      <w:start w:val="0"/>
      <w:numFmt w:val="bullet"/>
      <w:lvlText w:val="•"/>
      <w:lvlJc w:val="left"/>
      <w:pPr>
        <w:ind w:left="1924" w:hanging="360"/>
      </w:pPr>
      <w:rPr>
        <w:rFonts w:hint="default"/>
        <w:lang w:val="es-ES" w:eastAsia="en-US" w:bidi="ar-SA"/>
      </w:rPr>
    </w:lvl>
    <w:lvl w:ilvl="3">
      <w:start w:val="0"/>
      <w:numFmt w:val="bullet"/>
      <w:lvlText w:val="•"/>
      <w:lvlJc w:val="left"/>
      <w:pPr>
        <w:ind w:left="2908" w:hanging="360"/>
      </w:pPr>
      <w:rPr>
        <w:rFonts w:hint="default"/>
        <w:lang w:val="es-ES" w:eastAsia="en-US" w:bidi="ar-SA"/>
      </w:rPr>
    </w:lvl>
    <w:lvl w:ilvl="4">
      <w:start w:val="0"/>
      <w:numFmt w:val="bullet"/>
      <w:lvlText w:val="•"/>
      <w:lvlJc w:val="left"/>
      <w:pPr>
        <w:ind w:left="3893" w:hanging="360"/>
      </w:pPr>
      <w:rPr>
        <w:rFonts w:hint="default"/>
        <w:lang w:val="es-ES" w:eastAsia="en-US" w:bidi="ar-SA"/>
      </w:rPr>
    </w:lvl>
    <w:lvl w:ilvl="5">
      <w:start w:val="0"/>
      <w:numFmt w:val="bullet"/>
      <w:lvlText w:val="•"/>
      <w:lvlJc w:val="left"/>
      <w:pPr>
        <w:ind w:left="4877" w:hanging="360"/>
      </w:pPr>
      <w:rPr>
        <w:rFonts w:hint="default"/>
        <w:lang w:val="es-ES" w:eastAsia="en-US" w:bidi="ar-SA"/>
      </w:rPr>
    </w:lvl>
    <w:lvl w:ilvl="6">
      <w:start w:val="0"/>
      <w:numFmt w:val="bullet"/>
      <w:lvlText w:val="•"/>
      <w:lvlJc w:val="left"/>
      <w:pPr>
        <w:ind w:left="5862" w:hanging="360"/>
      </w:pPr>
      <w:rPr>
        <w:rFonts w:hint="default"/>
        <w:lang w:val="es-ES" w:eastAsia="en-US" w:bidi="ar-SA"/>
      </w:rPr>
    </w:lvl>
    <w:lvl w:ilvl="7">
      <w:start w:val="0"/>
      <w:numFmt w:val="bullet"/>
      <w:lvlText w:val="•"/>
      <w:lvlJc w:val="left"/>
      <w:pPr>
        <w:ind w:left="6846" w:hanging="360"/>
      </w:pPr>
      <w:rPr>
        <w:rFonts w:hint="default"/>
        <w:lang w:val="es-ES" w:eastAsia="en-US" w:bidi="ar-SA"/>
      </w:rPr>
    </w:lvl>
    <w:lvl w:ilvl="8">
      <w:start w:val="0"/>
      <w:numFmt w:val="bullet"/>
      <w:lvlText w:val="•"/>
      <w:lvlJc w:val="left"/>
      <w:pPr>
        <w:ind w:left="7831" w:hanging="360"/>
      </w:pPr>
      <w:rPr>
        <w:rFonts w:hint="default"/>
        <w:lang w:val="es-ES" w:eastAsia="en-US" w:bidi="ar-SA"/>
      </w:rPr>
    </w:lvl>
  </w:abstractNum>
  <w:abstractNum w:abstractNumId="14">
    <w:multiLevelType w:val="hybridMultilevel"/>
    <w:lvl w:ilvl="0">
      <w:start w:val="1"/>
      <w:numFmt w:val="lowerLetter"/>
      <w:lvlText w:val="%1)"/>
      <w:lvlJc w:val="left"/>
      <w:pPr>
        <w:ind w:left="1288" w:hanging="360"/>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2132" w:hanging="360"/>
      </w:pPr>
      <w:rPr>
        <w:rFonts w:hint="default"/>
        <w:lang w:val="es-ES" w:eastAsia="en-US" w:bidi="ar-SA"/>
      </w:rPr>
    </w:lvl>
    <w:lvl w:ilvl="2">
      <w:start w:val="0"/>
      <w:numFmt w:val="bullet"/>
      <w:lvlText w:val="•"/>
      <w:lvlJc w:val="left"/>
      <w:pPr>
        <w:ind w:left="2984" w:hanging="360"/>
      </w:pPr>
      <w:rPr>
        <w:rFonts w:hint="default"/>
        <w:lang w:val="es-ES" w:eastAsia="en-US" w:bidi="ar-SA"/>
      </w:rPr>
    </w:lvl>
    <w:lvl w:ilvl="3">
      <w:start w:val="0"/>
      <w:numFmt w:val="bullet"/>
      <w:lvlText w:val="•"/>
      <w:lvlJc w:val="left"/>
      <w:pPr>
        <w:ind w:left="3836" w:hanging="360"/>
      </w:pPr>
      <w:rPr>
        <w:rFonts w:hint="default"/>
        <w:lang w:val="es-ES" w:eastAsia="en-US" w:bidi="ar-SA"/>
      </w:rPr>
    </w:lvl>
    <w:lvl w:ilvl="4">
      <w:start w:val="0"/>
      <w:numFmt w:val="bullet"/>
      <w:lvlText w:val="•"/>
      <w:lvlJc w:val="left"/>
      <w:pPr>
        <w:ind w:left="4688" w:hanging="360"/>
      </w:pPr>
      <w:rPr>
        <w:rFonts w:hint="default"/>
        <w:lang w:val="es-ES" w:eastAsia="en-US" w:bidi="ar-SA"/>
      </w:rPr>
    </w:lvl>
    <w:lvl w:ilvl="5">
      <w:start w:val="0"/>
      <w:numFmt w:val="bullet"/>
      <w:lvlText w:val="•"/>
      <w:lvlJc w:val="left"/>
      <w:pPr>
        <w:ind w:left="5540" w:hanging="360"/>
      </w:pPr>
      <w:rPr>
        <w:rFonts w:hint="default"/>
        <w:lang w:val="es-ES" w:eastAsia="en-US" w:bidi="ar-SA"/>
      </w:rPr>
    </w:lvl>
    <w:lvl w:ilvl="6">
      <w:start w:val="0"/>
      <w:numFmt w:val="bullet"/>
      <w:lvlText w:val="•"/>
      <w:lvlJc w:val="left"/>
      <w:pPr>
        <w:ind w:left="6392" w:hanging="360"/>
      </w:pPr>
      <w:rPr>
        <w:rFonts w:hint="default"/>
        <w:lang w:val="es-ES" w:eastAsia="en-US" w:bidi="ar-SA"/>
      </w:rPr>
    </w:lvl>
    <w:lvl w:ilvl="7">
      <w:start w:val="0"/>
      <w:numFmt w:val="bullet"/>
      <w:lvlText w:val="•"/>
      <w:lvlJc w:val="left"/>
      <w:pPr>
        <w:ind w:left="7244" w:hanging="360"/>
      </w:pPr>
      <w:rPr>
        <w:rFonts w:hint="default"/>
        <w:lang w:val="es-ES" w:eastAsia="en-US" w:bidi="ar-SA"/>
      </w:rPr>
    </w:lvl>
    <w:lvl w:ilvl="8">
      <w:start w:val="0"/>
      <w:numFmt w:val="bullet"/>
      <w:lvlText w:val="•"/>
      <w:lvlJc w:val="left"/>
      <w:pPr>
        <w:ind w:left="8096" w:hanging="360"/>
      </w:pPr>
      <w:rPr>
        <w:rFonts w:hint="default"/>
        <w:lang w:val="es-ES" w:eastAsia="en-US" w:bidi="ar-SA"/>
      </w:rPr>
    </w:lvl>
  </w:abstractNum>
  <w:abstractNum w:abstractNumId="13">
    <w:multiLevelType w:val="hybridMultilevel"/>
    <w:lvl w:ilvl="0">
      <w:start w:val="10"/>
      <w:numFmt w:val="decimal"/>
      <w:lvlText w:val="%1"/>
      <w:lvlJc w:val="left"/>
      <w:pPr>
        <w:ind w:left="219" w:hanging="591"/>
        <w:jc w:val="left"/>
      </w:pPr>
      <w:rPr>
        <w:rFonts w:hint="default"/>
        <w:lang w:val="es-ES" w:eastAsia="en-US" w:bidi="ar-SA"/>
      </w:rPr>
    </w:lvl>
    <w:lvl w:ilvl="1">
      <w:start w:val="2"/>
      <w:numFmt w:val="decimal"/>
      <w:lvlText w:val="%1.%2"/>
      <w:lvlJc w:val="left"/>
      <w:pPr>
        <w:ind w:left="219" w:hanging="591"/>
        <w:jc w:val="left"/>
      </w:pPr>
      <w:rPr>
        <w:rFonts w:hint="default" w:ascii="Verdana" w:hAnsi="Verdana" w:eastAsia="Verdana" w:cs="Verdana"/>
        <w:spacing w:val="-1"/>
        <w:w w:val="99"/>
        <w:sz w:val="20"/>
        <w:szCs w:val="20"/>
        <w:lang w:val="es-ES" w:eastAsia="en-US" w:bidi="ar-SA"/>
      </w:rPr>
    </w:lvl>
    <w:lvl w:ilvl="2">
      <w:start w:val="0"/>
      <w:numFmt w:val="bullet"/>
      <w:lvlText w:val=""/>
      <w:lvlJc w:val="left"/>
      <w:pPr>
        <w:ind w:left="940" w:hanging="360"/>
      </w:pPr>
      <w:rPr>
        <w:rFonts w:hint="default" w:ascii="Symbol" w:hAnsi="Symbol" w:eastAsia="Symbol" w:cs="Symbol"/>
        <w:w w:val="99"/>
        <w:sz w:val="23"/>
        <w:szCs w:val="23"/>
        <w:lang w:val="es-ES" w:eastAsia="en-US" w:bidi="ar-SA"/>
      </w:rPr>
    </w:lvl>
    <w:lvl w:ilvl="3">
      <w:start w:val="0"/>
      <w:numFmt w:val="bullet"/>
      <w:lvlText w:val="•"/>
      <w:lvlJc w:val="left"/>
      <w:pPr>
        <w:ind w:left="2908" w:hanging="360"/>
      </w:pPr>
      <w:rPr>
        <w:rFonts w:hint="default"/>
        <w:lang w:val="es-ES" w:eastAsia="en-US" w:bidi="ar-SA"/>
      </w:rPr>
    </w:lvl>
    <w:lvl w:ilvl="4">
      <w:start w:val="0"/>
      <w:numFmt w:val="bullet"/>
      <w:lvlText w:val="•"/>
      <w:lvlJc w:val="left"/>
      <w:pPr>
        <w:ind w:left="3893" w:hanging="360"/>
      </w:pPr>
      <w:rPr>
        <w:rFonts w:hint="default"/>
        <w:lang w:val="es-ES" w:eastAsia="en-US" w:bidi="ar-SA"/>
      </w:rPr>
    </w:lvl>
    <w:lvl w:ilvl="5">
      <w:start w:val="0"/>
      <w:numFmt w:val="bullet"/>
      <w:lvlText w:val="•"/>
      <w:lvlJc w:val="left"/>
      <w:pPr>
        <w:ind w:left="4877" w:hanging="360"/>
      </w:pPr>
      <w:rPr>
        <w:rFonts w:hint="default"/>
        <w:lang w:val="es-ES" w:eastAsia="en-US" w:bidi="ar-SA"/>
      </w:rPr>
    </w:lvl>
    <w:lvl w:ilvl="6">
      <w:start w:val="0"/>
      <w:numFmt w:val="bullet"/>
      <w:lvlText w:val="•"/>
      <w:lvlJc w:val="left"/>
      <w:pPr>
        <w:ind w:left="5862" w:hanging="360"/>
      </w:pPr>
      <w:rPr>
        <w:rFonts w:hint="default"/>
        <w:lang w:val="es-ES" w:eastAsia="en-US" w:bidi="ar-SA"/>
      </w:rPr>
    </w:lvl>
    <w:lvl w:ilvl="7">
      <w:start w:val="0"/>
      <w:numFmt w:val="bullet"/>
      <w:lvlText w:val="•"/>
      <w:lvlJc w:val="left"/>
      <w:pPr>
        <w:ind w:left="6846" w:hanging="360"/>
      </w:pPr>
      <w:rPr>
        <w:rFonts w:hint="default"/>
        <w:lang w:val="es-ES" w:eastAsia="en-US" w:bidi="ar-SA"/>
      </w:rPr>
    </w:lvl>
    <w:lvl w:ilvl="8">
      <w:start w:val="0"/>
      <w:numFmt w:val="bullet"/>
      <w:lvlText w:val="•"/>
      <w:lvlJc w:val="left"/>
      <w:pPr>
        <w:ind w:left="7831" w:hanging="360"/>
      </w:pPr>
      <w:rPr>
        <w:rFonts w:hint="default"/>
        <w:lang w:val="es-ES" w:eastAsia="en-US" w:bidi="ar-SA"/>
      </w:rPr>
    </w:lvl>
  </w:abstractNum>
  <w:abstractNum w:abstractNumId="12">
    <w:multiLevelType w:val="hybridMultilevel"/>
    <w:lvl w:ilvl="0">
      <w:start w:val="1"/>
      <w:numFmt w:val="decimal"/>
      <w:lvlText w:val="%1."/>
      <w:lvlJc w:val="left"/>
      <w:pPr>
        <w:ind w:left="579" w:hanging="360"/>
        <w:jc w:val="left"/>
      </w:pPr>
      <w:rPr>
        <w:rFonts w:hint="default" w:ascii="Tahoma" w:hAnsi="Tahoma" w:eastAsia="Tahoma" w:cs="Tahoma"/>
        <w:spacing w:val="-1"/>
        <w:w w:val="99"/>
        <w:sz w:val="23"/>
        <w:szCs w:val="23"/>
        <w:lang w:val="es-ES" w:eastAsia="en-US" w:bidi="ar-SA"/>
      </w:rPr>
    </w:lvl>
    <w:lvl w:ilvl="1">
      <w:start w:val="0"/>
      <w:numFmt w:val="bullet"/>
      <w:lvlText w:val=""/>
      <w:lvlJc w:val="left"/>
      <w:pPr>
        <w:ind w:left="940" w:hanging="360"/>
      </w:pPr>
      <w:rPr>
        <w:rFonts w:hint="default" w:ascii="Symbol" w:hAnsi="Symbol" w:eastAsia="Symbol" w:cs="Symbol"/>
        <w:w w:val="99"/>
        <w:sz w:val="23"/>
        <w:szCs w:val="23"/>
        <w:lang w:val="es-ES" w:eastAsia="en-US" w:bidi="ar-SA"/>
      </w:rPr>
    </w:lvl>
    <w:lvl w:ilvl="2">
      <w:start w:val="0"/>
      <w:numFmt w:val="bullet"/>
      <w:lvlText w:val="•"/>
      <w:lvlJc w:val="left"/>
      <w:pPr>
        <w:ind w:left="1924" w:hanging="360"/>
      </w:pPr>
      <w:rPr>
        <w:rFonts w:hint="default"/>
        <w:lang w:val="es-ES" w:eastAsia="en-US" w:bidi="ar-SA"/>
      </w:rPr>
    </w:lvl>
    <w:lvl w:ilvl="3">
      <w:start w:val="0"/>
      <w:numFmt w:val="bullet"/>
      <w:lvlText w:val="•"/>
      <w:lvlJc w:val="left"/>
      <w:pPr>
        <w:ind w:left="2908" w:hanging="360"/>
      </w:pPr>
      <w:rPr>
        <w:rFonts w:hint="default"/>
        <w:lang w:val="es-ES" w:eastAsia="en-US" w:bidi="ar-SA"/>
      </w:rPr>
    </w:lvl>
    <w:lvl w:ilvl="4">
      <w:start w:val="0"/>
      <w:numFmt w:val="bullet"/>
      <w:lvlText w:val="•"/>
      <w:lvlJc w:val="left"/>
      <w:pPr>
        <w:ind w:left="3893" w:hanging="360"/>
      </w:pPr>
      <w:rPr>
        <w:rFonts w:hint="default"/>
        <w:lang w:val="es-ES" w:eastAsia="en-US" w:bidi="ar-SA"/>
      </w:rPr>
    </w:lvl>
    <w:lvl w:ilvl="5">
      <w:start w:val="0"/>
      <w:numFmt w:val="bullet"/>
      <w:lvlText w:val="•"/>
      <w:lvlJc w:val="left"/>
      <w:pPr>
        <w:ind w:left="4877" w:hanging="360"/>
      </w:pPr>
      <w:rPr>
        <w:rFonts w:hint="default"/>
        <w:lang w:val="es-ES" w:eastAsia="en-US" w:bidi="ar-SA"/>
      </w:rPr>
    </w:lvl>
    <w:lvl w:ilvl="6">
      <w:start w:val="0"/>
      <w:numFmt w:val="bullet"/>
      <w:lvlText w:val="•"/>
      <w:lvlJc w:val="left"/>
      <w:pPr>
        <w:ind w:left="5862" w:hanging="360"/>
      </w:pPr>
      <w:rPr>
        <w:rFonts w:hint="default"/>
        <w:lang w:val="es-ES" w:eastAsia="en-US" w:bidi="ar-SA"/>
      </w:rPr>
    </w:lvl>
    <w:lvl w:ilvl="7">
      <w:start w:val="0"/>
      <w:numFmt w:val="bullet"/>
      <w:lvlText w:val="•"/>
      <w:lvlJc w:val="left"/>
      <w:pPr>
        <w:ind w:left="6846" w:hanging="360"/>
      </w:pPr>
      <w:rPr>
        <w:rFonts w:hint="default"/>
        <w:lang w:val="es-ES" w:eastAsia="en-US" w:bidi="ar-SA"/>
      </w:rPr>
    </w:lvl>
    <w:lvl w:ilvl="8">
      <w:start w:val="0"/>
      <w:numFmt w:val="bullet"/>
      <w:lvlText w:val="•"/>
      <w:lvlJc w:val="left"/>
      <w:pPr>
        <w:ind w:left="7831" w:hanging="360"/>
      </w:pPr>
      <w:rPr>
        <w:rFonts w:hint="default"/>
        <w:lang w:val="es-ES" w:eastAsia="en-US" w:bidi="ar-SA"/>
      </w:rPr>
    </w:lvl>
  </w:abstractNum>
  <w:abstractNum w:abstractNumId="11">
    <w:multiLevelType w:val="hybridMultilevel"/>
    <w:lvl w:ilvl="0">
      <w:start w:val="0"/>
      <w:numFmt w:val="bullet"/>
      <w:lvlText w:val=""/>
      <w:lvlJc w:val="left"/>
      <w:pPr>
        <w:ind w:left="939" w:hanging="360"/>
      </w:pPr>
      <w:rPr>
        <w:rFonts w:hint="default" w:ascii="Symbol" w:hAnsi="Symbol" w:eastAsia="Symbol" w:cs="Symbol"/>
        <w:w w:val="99"/>
        <w:sz w:val="23"/>
        <w:szCs w:val="23"/>
        <w:lang w:val="es-ES" w:eastAsia="en-US" w:bidi="ar-SA"/>
      </w:rPr>
    </w:lvl>
    <w:lvl w:ilvl="1">
      <w:start w:val="0"/>
      <w:numFmt w:val="bullet"/>
      <w:lvlText w:val="•"/>
      <w:lvlJc w:val="left"/>
      <w:pPr>
        <w:ind w:left="1826" w:hanging="360"/>
      </w:pPr>
      <w:rPr>
        <w:rFonts w:hint="default"/>
        <w:lang w:val="es-ES" w:eastAsia="en-US" w:bidi="ar-SA"/>
      </w:rPr>
    </w:lvl>
    <w:lvl w:ilvl="2">
      <w:start w:val="0"/>
      <w:numFmt w:val="bullet"/>
      <w:lvlText w:val="•"/>
      <w:lvlJc w:val="left"/>
      <w:pPr>
        <w:ind w:left="2712" w:hanging="360"/>
      </w:pPr>
      <w:rPr>
        <w:rFonts w:hint="default"/>
        <w:lang w:val="es-ES" w:eastAsia="en-US" w:bidi="ar-SA"/>
      </w:rPr>
    </w:lvl>
    <w:lvl w:ilvl="3">
      <w:start w:val="0"/>
      <w:numFmt w:val="bullet"/>
      <w:lvlText w:val="•"/>
      <w:lvlJc w:val="left"/>
      <w:pPr>
        <w:ind w:left="3598" w:hanging="360"/>
      </w:pPr>
      <w:rPr>
        <w:rFonts w:hint="default"/>
        <w:lang w:val="es-ES" w:eastAsia="en-US" w:bidi="ar-SA"/>
      </w:rPr>
    </w:lvl>
    <w:lvl w:ilvl="4">
      <w:start w:val="0"/>
      <w:numFmt w:val="bullet"/>
      <w:lvlText w:val="•"/>
      <w:lvlJc w:val="left"/>
      <w:pPr>
        <w:ind w:left="4484" w:hanging="360"/>
      </w:pPr>
      <w:rPr>
        <w:rFonts w:hint="default"/>
        <w:lang w:val="es-ES" w:eastAsia="en-US" w:bidi="ar-SA"/>
      </w:rPr>
    </w:lvl>
    <w:lvl w:ilvl="5">
      <w:start w:val="0"/>
      <w:numFmt w:val="bullet"/>
      <w:lvlText w:val="•"/>
      <w:lvlJc w:val="left"/>
      <w:pPr>
        <w:ind w:left="5370" w:hanging="360"/>
      </w:pPr>
      <w:rPr>
        <w:rFonts w:hint="default"/>
        <w:lang w:val="es-ES" w:eastAsia="en-US" w:bidi="ar-SA"/>
      </w:rPr>
    </w:lvl>
    <w:lvl w:ilvl="6">
      <w:start w:val="0"/>
      <w:numFmt w:val="bullet"/>
      <w:lvlText w:val="•"/>
      <w:lvlJc w:val="left"/>
      <w:pPr>
        <w:ind w:left="6256" w:hanging="360"/>
      </w:pPr>
      <w:rPr>
        <w:rFonts w:hint="default"/>
        <w:lang w:val="es-ES" w:eastAsia="en-US" w:bidi="ar-SA"/>
      </w:rPr>
    </w:lvl>
    <w:lvl w:ilvl="7">
      <w:start w:val="0"/>
      <w:numFmt w:val="bullet"/>
      <w:lvlText w:val="•"/>
      <w:lvlJc w:val="left"/>
      <w:pPr>
        <w:ind w:left="7142" w:hanging="360"/>
      </w:pPr>
      <w:rPr>
        <w:rFonts w:hint="default"/>
        <w:lang w:val="es-ES" w:eastAsia="en-US" w:bidi="ar-SA"/>
      </w:rPr>
    </w:lvl>
    <w:lvl w:ilvl="8">
      <w:start w:val="0"/>
      <w:numFmt w:val="bullet"/>
      <w:lvlText w:val="•"/>
      <w:lvlJc w:val="left"/>
      <w:pPr>
        <w:ind w:left="8028" w:hanging="360"/>
      </w:pPr>
      <w:rPr>
        <w:rFonts w:hint="default"/>
        <w:lang w:val="es-ES" w:eastAsia="en-US" w:bidi="ar-SA"/>
      </w:rPr>
    </w:lvl>
  </w:abstractNum>
  <w:abstractNum w:abstractNumId="10">
    <w:multiLevelType w:val="hybridMultilevel"/>
    <w:lvl w:ilvl="0">
      <w:start w:val="5"/>
      <w:numFmt w:val="decimal"/>
      <w:lvlText w:val="%1"/>
      <w:lvlJc w:val="left"/>
      <w:pPr>
        <w:ind w:left="383" w:hanging="164"/>
        <w:jc w:val="left"/>
      </w:pPr>
      <w:rPr>
        <w:rFonts w:hint="default" w:ascii="Tahoma" w:hAnsi="Tahoma" w:eastAsia="Tahoma" w:cs="Tahoma"/>
        <w:w w:val="100"/>
        <w:position w:val="11"/>
        <w:sz w:val="16"/>
        <w:szCs w:val="16"/>
        <w:lang w:val="es-ES" w:eastAsia="en-US" w:bidi="ar-SA"/>
      </w:rPr>
    </w:lvl>
    <w:lvl w:ilvl="1">
      <w:start w:val="1"/>
      <w:numFmt w:val="lowerLetter"/>
      <w:lvlText w:val="%2)"/>
      <w:lvlJc w:val="left"/>
      <w:pPr>
        <w:ind w:left="940" w:hanging="360"/>
        <w:jc w:val="left"/>
      </w:pPr>
      <w:rPr>
        <w:rFonts w:hint="default" w:ascii="Tahoma" w:hAnsi="Tahoma" w:eastAsia="Tahoma" w:cs="Tahoma"/>
        <w:spacing w:val="-1"/>
        <w:w w:val="99"/>
        <w:sz w:val="23"/>
        <w:szCs w:val="23"/>
        <w:lang w:val="es-ES" w:eastAsia="en-US" w:bidi="ar-SA"/>
      </w:rPr>
    </w:lvl>
    <w:lvl w:ilvl="2">
      <w:start w:val="0"/>
      <w:numFmt w:val="bullet"/>
      <w:lvlText w:val="•"/>
      <w:lvlJc w:val="left"/>
      <w:pPr>
        <w:ind w:left="1924" w:hanging="360"/>
      </w:pPr>
      <w:rPr>
        <w:rFonts w:hint="default"/>
        <w:lang w:val="es-ES" w:eastAsia="en-US" w:bidi="ar-SA"/>
      </w:rPr>
    </w:lvl>
    <w:lvl w:ilvl="3">
      <w:start w:val="0"/>
      <w:numFmt w:val="bullet"/>
      <w:lvlText w:val="•"/>
      <w:lvlJc w:val="left"/>
      <w:pPr>
        <w:ind w:left="2908" w:hanging="360"/>
      </w:pPr>
      <w:rPr>
        <w:rFonts w:hint="default"/>
        <w:lang w:val="es-ES" w:eastAsia="en-US" w:bidi="ar-SA"/>
      </w:rPr>
    </w:lvl>
    <w:lvl w:ilvl="4">
      <w:start w:val="0"/>
      <w:numFmt w:val="bullet"/>
      <w:lvlText w:val="•"/>
      <w:lvlJc w:val="left"/>
      <w:pPr>
        <w:ind w:left="3893" w:hanging="360"/>
      </w:pPr>
      <w:rPr>
        <w:rFonts w:hint="default"/>
        <w:lang w:val="es-ES" w:eastAsia="en-US" w:bidi="ar-SA"/>
      </w:rPr>
    </w:lvl>
    <w:lvl w:ilvl="5">
      <w:start w:val="0"/>
      <w:numFmt w:val="bullet"/>
      <w:lvlText w:val="•"/>
      <w:lvlJc w:val="left"/>
      <w:pPr>
        <w:ind w:left="4877" w:hanging="360"/>
      </w:pPr>
      <w:rPr>
        <w:rFonts w:hint="default"/>
        <w:lang w:val="es-ES" w:eastAsia="en-US" w:bidi="ar-SA"/>
      </w:rPr>
    </w:lvl>
    <w:lvl w:ilvl="6">
      <w:start w:val="0"/>
      <w:numFmt w:val="bullet"/>
      <w:lvlText w:val="•"/>
      <w:lvlJc w:val="left"/>
      <w:pPr>
        <w:ind w:left="5862" w:hanging="360"/>
      </w:pPr>
      <w:rPr>
        <w:rFonts w:hint="default"/>
        <w:lang w:val="es-ES" w:eastAsia="en-US" w:bidi="ar-SA"/>
      </w:rPr>
    </w:lvl>
    <w:lvl w:ilvl="7">
      <w:start w:val="0"/>
      <w:numFmt w:val="bullet"/>
      <w:lvlText w:val="•"/>
      <w:lvlJc w:val="left"/>
      <w:pPr>
        <w:ind w:left="6846" w:hanging="360"/>
      </w:pPr>
      <w:rPr>
        <w:rFonts w:hint="default"/>
        <w:lang w:val="es-ES" w:eastAsia="en-US" w:bidi="ar-SA"/>
      </w:rPr>
    </w:lvl>
    <w:lvl w:ilvl="8">
      <w:start w:val="0"/>
      <w:numFmt w:val="bullet"/>
      <w:lvlText w:val="•"/>
      <w:lvlJc w:val="left"/>
      <w:pPr>
        <w:ind w:left="7831" w:hanging="360"/>
      </w:pPr>
      <w:rPr>
        <w:rFonts w:hint="default"/>
        <w:lang w:val="es-ES" w:eastAsia="en-US" w:bidi="ar-SA"/>
      </w:rPr>
    </w:lvl>
  </w:abstractNum>
  <w:abstractNum w:abstractNumId="9">
    <w:multiLevelType w:val="hybridMultilevel"/>
    <w:lvl w:ilvl="0">
      <w:start w:val="2"/>
      <w:numFmt w:val="decimal"/>
      <w:lvlText w:val="%1"/>
      <w:lvlJc w:val="left"/>
      <w:pPr>
        <w:ind w:left="928" w:hanging="752"/>
        <w:jc w:val="left"/>
      </w:pPr>
      <w:rPr>
        <w:rFonts w:hint="default"/>
        <w:lang w:val="es-ES" w:eastAsia="en-US" w:bidi="ar-SA"/>
      </w:rPr>
    </w:lvl>
    <w:lvl w:ilvl="1">
      <w:start w:val="1"/>
      <w:numFmt w:val="decimal"/>
      <w:lvlText w:val="%1.%2"/>
      <w:lvlJc w:val="left"/>
      <w:pPr>
        <w:ind w:left="928" w:hanging="752"/>
        <w:jc w:val="left"/>
      </w:pPr>
      <w:rPr>
        <w:rFonts w:hint="default" w:ascii="Verdana" w:hAnsi="Verdana" w:eastAsia="Verdana" w:cs="Verdana"/>
        <w:b/>
        <w:bCs/>
        <w:w w:val="99"/>
        <w:sz w:val="26"/>
        <w:szCs w:val="26"/>
        <w:lang w:val="es-ES" w:eastAsia="en-US" w:bidi="ar-SA"/>
      </w:rPr>
    </w:lvl>
    <w:lvl w:ilvl="2">
      <w:start w:val="1"/>
      <w:numFmt w:val="decimal"/>
      <w:lvlText w:val="%1.%2.%3"/>
      <w:lvlJc w:val="left"/>
      <w:pPr>
        <w:ind w:left="1067" w:hanging="848"/>
        <w:jc w:val="left"/>
      </w:pPr>
      <w:rPr>
        <w:rFonts w:hint="default" w:ascii="Verdana" w:hAnsi="Verdana" w:eastAsia="Verdana" w:cs="Verdana"/>
        <w:b/>
        <w:bCs/>
        <w:spacing w:val="-1"/>
        <w:w w:val="99"/>
        <w:sz w:val="24"/>
        <w:szCs w:val="24"/>
        <w:lang w:val="es-ES" w:eastAsia="en-US" w:bidi="ar-SA"/>
      </w:rPr>
    </w:lvl>
    <w:lvl w:ilvl="3">
      <w:start w:val="0"/>
      <w:numFmt w:val="bullet"/>
      <w:lvlText w:val=""/>
      <w:lvlJc w:val="left"/>
      <w:pPr>
        <w:ind w:left="940" w:hanging="360"/>
      </w:pPr>
      <w:rPr>
        <w:rFonts w:hint="default"/>
        <w:w w:val="99"/>
        <w:lang w:val="es-ES" w:eastAsia="en-US" w:bidi="ar-SA"/>
      </w:rPr>
    </w:lvl>
    <w:lvl w:ilvl="4">
      <w:start w:val="0"/>
      <w:numFmt w:val="bullet"/>
      <w:lvlText w:val="•"/>
      <w:lvlJc w:val="left"/>
      <w:pPr>
        <w:ind w:left="2377" w:hanging="360"/>
      </w:pPr>
      <w:rPr>
        <w:rFonts w:hint="default"/>
        <w:lang w:val="es-ES" w:eastAsia="en-US" w:bidi="ar-SA"/>
      </w:rPr>
    </w:lvl>
    <w:lvl w:ilvl="5">
      <w:start w:val="0"/>
      <w:numFmt w:val="bullet"/>
      <w:lvlText w:val="•"/>
      <w:lvlJc w:val="left"/>
      <w:pPr>
        <w:ind w:left="3614" w:hanging="360"/>
      </w:pPr>
      <w:rPr>
        <w:rFonts w:hint="default"/>
        <w:lang w:val="es-ES" w:eastAsia="en-US" w:bidi="ar-SA"/>
      </w:rPr>
    </w:lvl>
    <w:lvl w:ilvl="6">
      <w:start w:val="0"/>
      <w:numFmt w:val="bullet"/>
      <w:lvlText w:val="•"/>
      <w:lvlJc w:val="left"/>
      <w:pPr>
        <w:ind w:left="4851" w:hanging="360"/>
      </w:pPr>
      <w:rPr>
        <w:rFonts w:hint="default"/>
        <w:lang w:val="es-ES" w:eastAsia="en-US" w:bidi="ar-SA"/>
      </w:rPr>
    </w:lvl>
    <w:lvl w:ilvl="7">
      <w:start w:val="0"/>
      <w:numFmt w:val="bullet"/>
      <w:lvlText w:val="•"/>
      <w:lvlJc w:val="left"/>
      <w:pPr>
        <w:ind w:left="6088" w:hanging="360"/>
      </w:pPr>
      <w:rPr>
        <w:rFonts w:hint="default"/>
        <w:lang w:val="es-ES" w:eastAsia="en-US" w:bidi="ar-SA"/>
      </w:rPr>
    </w:lvl>
    <w:lvl w:ilvl="8">
      <w:start w:val="0"/>
      <w:numFmt w:val="bullet"/>
      <w:lvlText w:val="•"/>
      <w:lvlJc w:val="left"/>
      <w:pPr>
        <w:ind w:left="7325" w:hanging="360"/>
      </w:pPr>
      <w:rPr>
        <w:rFonts w:hint="default"/>
        <w:lang w:val="es-ES" w:eastAsia="en-US" w:bidi="ar-SA"/>
      </w:rPr>
    </w:lvl>
  </w:abstractNum>
  <w:abstractNum w:abstractNumId="8">
    <w:multiLevelType w:val="hybridMultilevel"/>
    <w:lvl w:ilvl="0">
      <w:start w:val="0"/>
      <w:numFmt w:val="bullet"/>
      <w:lvlText w:val=""/>
      <w:lvlJc w:val="left"/>
      <w:pPr>
        <w:ind w:left="851" w:hanging="360"/>
      </w:pPr>
      <w:rPr>
        <w:rFonts w:hint="default" w:ascii="Wingdings" w:hAnsi="Wingdings" w:eastAsia="Wingdings" w:cs="Wingdings"/>
        <w:w w:val="99"/>
        <w:sz w:val="24"/>
        <w:szCs w:val="24"/>
        <w:lang w:val="es-ES" w:eastAsia="en-US" w:bidi="ar-SA"/>
      </w:rPr>
    </w:lvl>
    <w:lvl w:ilvl="1">
      <w:start w:val="0"/>
      <w:numFmt w:val="bullet"/>
      <w:lvlText w:val="•"/>
      <w:lvlJc w:val="left"/>
      <w:pPr>
        <w:ind w:left="1754" w:hanging="360"/>
      </w:pPr>
      <w:rPr>
        <w:rFonts w:hint="default"/>
        <w:lang w:val="es-ES" w:eastAsia="en-US" w:bidi="ar-SA"/>
      </w:rPr>
    </w:lvl>
    <w:lvl w:ilvl="2">
      <w:start w:val="0"/>
      <w:numFmt w:val="bullet"/>
      <w:lvlText w:val="•"/>
      <w:lvlJc w:val="left"/>
      <w:pPr>
        <w:ind w:left="2648" w:hanging="360"/>
      </w:pPr>
      <w:rPr>
        <w:rFonts w:hint="default"/>
        <w:lang w:val="es-ES" w:eastAsia="en-US" w:bidi="ar-SA"/>
      </w:rPr>
    </w:lvl>
    <w:lvl w:ilvl="3">
      <w:start w:val="0"/>
      <w:numFmt w:val="bullet"/>
      <w:lvlText w:val="•"/>
      <w:lvlJc w:val="left"/>
      <w:pPr>
        <w:ind w:left="3542" w:hanging="360"/>
      </w:pPr>
      <w:rPr>
        <w:rFonts w:hint="default"/>
        <w:lang w:val="es-ES" w:eastAsia="en-US" w:bidi="ar-SA"/>
      </w:rPr>
    </w:lvl>
    <w:lvl w:ilvl="4">
      <w:start w:val="0"/>
      <w:numFmt w:val="bullet"/>
      <w:lvlText w:val="•"/>
      <w:lvlJc w:val="left"/>
      <w:pPr>
        <w:ind w:left="4436" w:hanging="360"/>
      </w:pPr>
      <w:rPr>
        <w:rFonts w:hint="default"/>
        <w:lang w:val="es-ES" w:eastAsia="en-US" w:bidi="ar-SA"/>
      </w:rPr>
    </w:lvl>
    <w:lvl w:ilvl="5">
      <w:start w:val="0"/>
      <w:numFmt w:val="bullet"/>
      <w:lvlText w:val="•"/>
      <w:lvlJc w:val="left"/>
      <w:pPr>
        <w:ind w:left="5330" w:hanging="360"/>
      </w:pPr>
      <w:rPr>
        <w:rFonts w:hint="default"/>
        <w:lang w:val="es-ES" w:eastAsia="en-US" w:bidi="ar-SA"/>
      </w:rPr>
    </w:lvl>
    <w:lvl w:ilvl="6">
      <w:start w:val="0"/>
      <w:numFmt w:val="bullet"/>
      <w:lvlText w:val="•"/>
      <w:lvlJc w:val="left"/>
      <w:pPr>
        <w:ind w:left="6224" w:hanging="360"/>
      </w:pPr>
      <w:rPr>
        <w:rFonts w:hint="default"/>
        <w:lang w:val="es-ES" w:eastAsia="en-US" w:bidi="ar-SA"/>
      </w:rPr>
    </w:lvl>
    <w:lvl w:ilvl="7">
      <w:start w:val="0"/>
      <w:numFmt w:val="bullet"/>
      <w:lvlText w:val="•"/>
      <w:lvlJc w:val="left"/>
      <w:pPr>
        <w:ind w:left="7118" w:hanging="360"/>
      </w:pPr>
      <w:rPr>
        <w:rFonts w:hint="default"/>
        <w:lang w:val="es-ES" w:eastAsia="en-US" w:bidi="ar-SA"/>
      </w:rPr>
    </w:lvl>
    <w:lvl w:ilvl="8">
      <w:start w:val="0"/>
      <w:numFmt w:val="bullet"/>
      <w:lvlText w:val="•"/>
      <w:lvlJc w:val="left"/>
      <w:pPr>
        <w:ind w:left="8012" w:hanging="360"/>
      </w:pPr>
      <w:rPr>
        <w:rFonts w:hint="default"/>
        <w:lang w:val="es-ES" w:eastAsia="en-US" w:bidi="ar-SA"/>
      </w:rPr>
    </w:lvl>
  </w:abstractNum>
  <w:abstractNum w:abstractNumId="7">
    <w:multiLevelType w:val="hybridMultilevel"/>
    <w:lvl w:ilvl="0">
      <w:start w:val="1"/>
      <w:numFmt w:val="decimal"/>
      <w:lvlText w:val="%1."/>
      <w:lvlJc w:val="left"/>
      <w:pPr>
        <w:ind w:left="939" w:hanging="360"/>
        <w:jc w:val="left"/>
      </w:pPr>
      <w:rPr>
        <w:rFonts w:hint="default" w:ascii="Tahoma" w:hAnsi="Tahoma" w:eastAsia="Tahoma" w:cs="Tahoma"/>
        <w:spacing w:val="-1"/>
        <w:w w:val="99"/>
        <w:sz w:val="23"/>
        <w:szCs w:val="23"/>
        <w:lang w:val="es-ES" w:eastAsia="en-US" w:bidi="ar-SA"/>
      </w:rPr>
    </w:lvl>
    <w:lvl w:ilvl="1">
      <w:start w:val="1"/>
      <w:numFmt w:val="decimal"/>
      <w:lvlText w:val="%2."/>
      <w:lvlJc w:val="left"/>
      <w:pPr>
        <w:ind w:left="2380" w:hanging="360"/>
        <w:jc w:val="left"/>
      </w:pPr>
      <w:rPr>
        <w:rFonts w:hint="default" w:ascii="Tahoma" w:hAnsi="Tahoma" w:eastAsia="Tahoma" w:cs="Tahoma"/>
        <w:b/>
        <w:bCs/>
        <w:i/>
        <w:w w:val="95"/>
        <w:sz w:val="24"/>
        <w:szCs w:val="24"/>
        <w:lang w:val="es-ES" w:eastAsia="en-US" w:bidi="ar-SA"/>
      </w:rPr>
    </w:lvl>
    <w:lvl w:ilvl="2">
      <w:start w:val="0"/>
      <w:numFmt w:val="bullet"/>
      <w:lvlText w:val="•"/>
      <w:lvlJc w:val="left"/>
      <w:pPr>
        <w:ind w:left="3204" w:hanging="360"/>
      </w:pPr>
      <w:rPr>
        <w:rFonts w:hint="default"/>
        <w:lang w:val="es-ES" w:eastAsia="en-US" w:bidi="ar-SA"/>
      </w:rPr>
    </w:lvl>
    <w:lvl w:ilvl="3">
      <w:start w:val="0"/>
      <w:numFmt w:val="bullet"/>
      <w:lvlText w:val="•"/>
      <w:lvlJc w:val="left"/>
      <w:pPr>
        <w:ind w:left="4028" w:hanging="360"/>
      </w:pPr>
      <w:rPr>
        <w:rFonts w:hint="default"/>
        <w:lang w:val="es-ES" w:eastAsia="en-US" w:bidi="ar-SA"/>
      </w:rPr>
    </w:lvl>
    <w:lvl w:ilvl="4">
      <w:start w:val="0"/>
      <w:numFmt w:val="bullet"/>
      <w:lvlText w:val="•"/>
      <w:lvlJc w:val="left"/>
      <w:pPr>
        <w:ind w:left="4853" w:hanging="360"/>
      </w:pPr>
      <w:rPr>
        <w:rFonts w:hint="default"/>
        <w:lang w:val="es-ES" w:eastAsia="en-US" w:bidi="ar-SA"/>
      </w:rPr>
    </w:lvl>
    <w:lvl w:ilvl="5">
      <w:start w:val="0"/>
      <w:numFmt w:val="bullet"/>
      <w:lvlText w:val="•"/>
      <w:lvlJc w:val="left"/>
      <w:pPr>
        <w:ind w:left="5677" w:hanging="360"/>
      </w:pPr>
      <w:rPr>
        <w:rFonts w:hint="default"/>
        <w:lang w:val="es-ES" w:eastAsia="en-US" w:bidi="ar-SA"/>
      </w:rPr>
    </w:lvl>
    <w:lvl w:ilvl="6">
      <w:start w:val="0"/>
      <w:numFmt w:val="bullet"/>
      <w:lvlText w:val="•"/>
      <w:lvlJc w:val="left"/>
      <w:pPr>
        <w:ind w:left="6502" w:hanging="360"/>
      </w:pPr>
      <w:rPr>
        <w:rFonts w:hint="default"/>
        <w:lang w:val="es-ES" w:eastAsia="en-US" w:bidi="ar-SA"/>
      </w:rPr>
    </w:lvl>
    <w:lvl w:ilvl="7">
      <w:start w:val="0"/>
      <w:numFmt w:val="bullet"/>
      <w:lvlText w:val="•"/>
      <w:lvlJc w:val="left"/>
      <w:pPr>
        <w:ind w:left="7326" w:hanging="360"/>
      </w:pPr>
      <w:rPr>
        <w:rFonts w:hint="default"/>
        <w:lang w:val="es-ES" w:eastAsia="en-US" w:bidi="ar-SA"/>
      </w:rPr>
    </w:lvl>
    <w:lvl w:ilvl="8">
      <w:start w:val="0"/>
      <w:numFmt w:val="bullet"/>
      <w:lvlText w:val="•"/>
      <w:lvlJc w:val="left"/>
      <w:pPr>
        <w:ind w:left="8151" w:hanging="360"/>
      </w:pPr>
      <w:rPr>
        <w:rFonts w:hint="default"/>
        <w:lang w:val="es-ES" w:eastAsia="en-US" w:bidi="ar-SA"/>
      </w:rPr>
    </w:lvl>
  </w:abstractNum>
  <w:abstractNum w:abstractNumId="6">
    <w:multiLevelType w:val="hybridMultilevel"/>
    <w:lvl w:ilvl="0">
      <w:start w:val="1"/>
      <w:numFmt w:val="decimal"/>
      <w:lvlText w:val="%1"/>
      <w:lvlJc w:val="left"/>
      <w:pPr>
        <w:ind w:left="219" w:hanging="164"/>
        <w:jc w:val="left"/>
      </w:pPr>
      <w:rPr>
        <w:rFonts w:hint="default" w:ascii="Tahoma" w:hAnsi="Tahoma" w:eastAsia="Tahoma" w:cs="Tahoma"/>
        <w:w w:val="100"/>
        <w:position w:val="11"/>
        <w:sz w:val="16"/>
        <w:szCs w:val="16"/>
        <w:lang w:val="es-ES" w:eastAsia="en-US" w:bidi="ar-SA"/>
      </w:rPr>
    </w:lvl>
    <w:lvl w:ilvl="1">
      <w:start w:val="1"/>
      <w:numFmt w:val="decimal"/>
      <w:lvlText w:val="%1.%2"/>
      <w:lvlJc w:val="left"/>
      <w:pPr>
        <w:ind w:left="949" w:hanging="730"/>
        <w:jc w:val="left"/>
      </w:pPr>
      <w:rPr>
        <w:rFonts w:hint="default" w:ascii="Verdana" w:hAnsi="Verdana" w:eastAsia="Verdana" w:cs="Verdana"/>
        <w:b/>
        <w:bCs/>
        <w:w w:val="99"/>
        <w:sz w:val="26"/>
        <w:szCs w:val="26"/>
        <w:lang w:val="es-ES" w:eastAsia="en-US" w:bidi="ar-SA"/>
      </w:rPr>
    </w:lvl>
    <w:lvl w:ilvl="2">
      <w:start w:val="0"/>
      <w:numFmt w:val="bullet"/>
      <w:lvlText w:val=""/>
      <w:lvlJc w:val="left"/>
      <w:pPr>
        <w:ind w:left="940" w:hanging="361"/>
      </w:pPr>
      <w:rPr>
        <w:rFonts w:hint="default" w:ascii="Symbol" w:hAnsi="Symbol" w:eastAsia="Symbol" w:cs="Symbol"/>
        <w:w w:val="99"/>
        <w:sz w:val="23"/>
        <w:szCs w:val="23"/>
        <w:lang w:val="es-ES" w:eastAsia="en-US" w:bidi="ar-SA"/>
      </w:rPr>
    </w:lvl>
    <w:lvl w:ilvl="3">
      <w:start w:val="0"/>
      <w:numFmt w:val="bullet"/>
      <w:lvlText w:val="•"/>
      <w:lvlJc w:val="left"/>
      <w:pPr>
        <w:ind w:left="2908" w:hanging="361"/>
      </w:pPr>
      <w:rPr>
        <w:rFonts w:hint="default"/>
        <w:lang w:val="es-ES" w:eastAsia="en-US" w:bidi="ar-SA"/>
      </w:rPr>
    </w:lvl>
    <w:lvl w:ilvl="4">
      <w:start w:val="0"/>
      <w:numFmt w:val="bullet"/>
      <w:lvlText w:val="•"/>
      <w:lvlJc w:val="left"/>
      <w:pPr>
        <w:ind w:left="3893" w:hanging="361"/>
      </w:pPr>
      <w:rPr>
        <w:rFonts w:hint="default"/>
        <w:lang w:val="es-ES" w:eastAsia="en-US" w:bidi="ar-SA"/>
      </w:rPr>
    </w:lvl>
    <w:lvl w:ilvl="5">
      <w:start w:val="0"/>
      <w:numFmt w:val="bullet"/>
      <w:lvlText w:val="•"/>
      <w:lvlJc w:val="left"/>
      <w:pPr>
        <w:ind w:left="4877" w:hanging="361"/>
      </w:pPr>
      <w:rPr>
        <w:rFonts w:hint="default"/>
        <w:lang w:val="es-ES" w:eastAsia="en-US" w:bidi="ar-SA"/>
      </w:rPr>
    </w:lvl>
    <w:lvl w:ilvl="6">
      <w:start w:val="0"/>
      <w:numFmt w:val="bullet"/>
      <w:lvlText w:val="•"/>
      <w:lvlJc w:val="left"/>
      <w:pPr>
        <w:ind w:left="5862" w:hanging="361"/>
      </w:pPr>
      <w:rPr>
        <w:rFonts w:hint="default"/>
        <w:lang w:val="es-ES" w:eastAsia="en-US" w:bidi="ar-SA"/>
      </w:rPr>
    </w:lvl>
    <w:lvl w:ilvl="7">
      <w:start w:val="0"/>
      <w:numFmt w:val="bullet"/>
      <w:lvlText w:val="•"/>
      <w:lvlJc w:val="left"/>
      <w:pPr>
        <w:ind w:left="6846" w:hanging="361"/>
      </w:pPr>
      <w:rPr>
        <w:rFonts w:hint="default"/>
        <w:lang w:val="es-ES" w:eastAsia="en-US" w:bidi="ar-SA"/>
      </w:rPr>
    </w:lvl>
    <w:lvl w:ilvl="8">
      <w:start w:val="0"/>
      <w:numFmt w:val="bullet"/>
      <w:lvlText w:val="•"/>
      <w:lvlJc w:val="left"/>
      <w:pPr>
        <w:ind w:left="7831" w:hanging="361"/>
      </w:pPr>
      <w:rPr>
        <w:rFonts w:hint="default"/>
        <w:lang w:val="es-ES" w:eastAsia="en-US" w:bidi="ar-SA"/>
      </w:rPr>
    </w:lvl>
  </w:abstractNum>
  <w:abstractNum w:abstractNumId="5">
    <w:multiLevelType w:val="hybridMultilevel"/>
    <w:lvl w:ilvl="0">
      <w:start w:val="1"/>
      <w:numFmt w:val="decimal"/>
      <w:lvlText w:val="%1."/>
      <w:lvlJc w:val="left"/>
      <w:pPr>
        <w:ind w:left="647" w:hanging="428"/>
        <w:jc w:val="left"/>
      </w:pPr>
      <w:rPr>
        <w:rFonts w:hint="default" w:ascii="Tahoma" w:hAnsi="Tahoma" w:eastAsia="Tahoma" w:cs="Tahoma"/>
        <w:spacing w:val="-1"/>
        <w:w w:val="99"/>
        <w:sz w:val="23"/>
        <w:szCs w:val="23"/>
        <w:lang w:val="es-ES" w:eastAsia="en-US" w:bidi="ar-SA"/>
      </w:rPr>
    </w:lvl>
    <w:lvl w:ilvl="1">
      <w:start w:val="1"/>
      <w:numFmt w:val="decimal"/>
      <w:lvlText w:val="%2."/>
      <w:lvlJc w:val="left"/>
      <w:pPr>
        <w:ind w:left="1660" w:hanging="360"/>
        <w:jc w:val="left"/>
      </w:pPr>
      <w:rPr>
        <w:rFonts w:hint="default" w:ascii="Tahoma" w:hAnsi="Tahoma" w:eastAsia="Tahoma" w:cs="Tahoma"/>
        <w:spacing w:val="-1"/>
        <w:w w:val="99"/>
        <w:sz w:val="23"/>
        <w:szCs w:val="23"/>
        <w:lang w:val="es-ES" w:eastAsia="en-US" w:bidi="ar-SA"/>
      </w:rPr>
    </w:lvl>
    <w:lvl w:ilvl="2">
      <w:start w:val="0"/>
      <w:numFmt w:val="bullet"/>
      <w:lvlText w:val="•"/>
      <w:lvlJc w:val="left"/>
      <w:pPr>
        <w:ind w:left="1660" w:hanging="360"/>
      </w:pPr>
      <w:rPr>
        <w:rFonts w:hint="default"/>
        <w:lang w:val="es-ES" w:eastAsia="en-US" w:bidi="ar-SA"/>
      </w:rPr>
    </w:lvl>
    <w:lvl w:ilvl="3">
      <w:start w:val="0"/>
      <w:numFmt w:val="bullet"/>
      <w:lvlText w:val="•"/>
      <w:lvlJc w:val="left"/>
      <w:pPr>
        <w:ind w:left="2677" w:hanging="360"/>
      </w:pPr>
      <w:rPr>
        <w:rFonts w:hint="default"/>
        <w:lang w:val="es-ES" w:eastAsia="en-US" w:bidi="ar-SA"/>
      </w:rPr>
    </w:lvl>
    <w:lvl w:ilvl="4">
      <w:start w:val="0"/>
      <w:numFmt w:val="bullet"/>
      <w:lvlText w:val="•"/>
      <w:lvlJc w:val="left"/>
      <w:pPr>
        <w:ind w:left="3695" w:hanging="360"/>
      </w:pPr>
      <w:rPr>
        <w:rFonts w:hint="default"/>
        <w:lang w:val="es-ES" w:eastAsia="en-US" w:bidi="ar-SA"/>
      </w:rPr>
    </w:lvl>
    <w:lvl w:ilvl="5">
      <w:start w:val="0"/>
      <w:numFmt w:val="bullet"/>
      <w:lvlText w:val="•"/>
      <w:lvlJc w:val="left"/>
      <w:pPr>
        <w:ind w:left="4712" w:hanging="360"/>
      </w:pPr>
      <w:rPr>
        <w:rFonts w:hint="default"/>
        <w:lang w:val="es-ES" w:eastAsia="en-US" w:bidi="ar-SA"/>
      </w:rPr>
    </w:lvl>
    <w:lvl w:ilvl="6">
      <w:start w:val="0"/>
      <w:numFmt w:val="bullet"/>
      <w:lvlText w:val="•"/>
      <w:lvlJc w:val="left"/>
      <w:pPr>
        <w:ind w:left="5730" w:hanging="360"/>
      </w:pPr>
      <w:rPr>
        <w:rFonts w:hint="default"/>
        <w:lang w:val="es-ES" w:eastAsia="en-US" w:bidi="ar-SA"/>
      </w:rPr>
    </w:lvl>
    <w:lvl w:ilvl="7">
      <w:start w:val="0"/>
      <w:numFmt w:val="bullet"/>
      <w:lvlText w:val="•"/>
      <w:lvlJc w:val="left"/>
      <w:pPr>
        <w:ind w:left="6747" w:hanging="360"/>
      </w:pPr>
      <w:rPr>
        <w:rFonts w:hint="default"/>
        <w:lang w:val="es-ES" w:eastAsia="en-US" w:bidi="ar-SA"/>
      </w:rPr>
    </w:lvl>
    <w:lvl w:ilvl="8">
      <w:start w:val="0"/>
      <w:numFmt w:val="bullet"/>
      <w:lvlText w:val="•"/>
      <w:lvlJc w:val="left"/>
      <w:pPr>
        <w:ind w:left="7765" w:hanging="360"/>
      </w:pPr>
      <w:rPr>
        <w:rFonts w:hint="default"/>
        <w:lang w:val="es-ES" w:eastAsia="en-US" w:bidi="ar-SA"/>
      </w:rPr>
    </w:lvl>
  </w:abstractNum>
  <w:abstractNum w:abstractNumId="4">
    <w:multiLevelType w:val="hybridMultilevel"/>
    <w:lvl w:ilvl="0">
      <w:start w:val="5"/>
      <w:numFmt w:val="decimal"/>
      <w:lvlText w:val="%1"/>
      <w:lvlJc w:val="left"/>
      <w:pPr>
        <w:ind w:left="1259" w:hanging="560"/>
        <w:jc w:val="left"/>
      </w:pPr>
      <w:rPr>
        <w:rFonts w:hint="default"/>
        <w:lang w:val="es-ES" w:eastAsia="en-US" w:bidi="ar-SA"/>
      </w:rPr>
    </w:lvl>
    <w:lvl w:ilvl="1">
      <w:start w:val="1"/>
      <w:numFmt w:val="decimal"/>
      <w:lvlText w:val="%1.%2"/>
      <w:lvlJc w:val="left"/>
      <w:pPr>
        <w:ind w:left="1259" w:hanging="560"/>
        <w:jc w:val="right"/>
      </w:pPr>
      <w:rPr>
        <w:rFonts w:hint="default" w:ascii="Tahoma" w:hAnsi="Tahoma" w:eastAsia="Tahoma" w:cs="Tahoma"/>
        <w:spacing w:val="-1"/>
        <w:w w:val="99"/>
        <w:sz w:val="24"/>
        <w:szCs w:val="24"/>
        <w:lang w:val="es-ES" w:eastAsia="en-US" w:bidi="ar-SA"/>
      </w:rPr>
    </w:lvl>
    <w:lvl w:ilvl="2">
      <w:start w:val="1"/>
      <w:numFmt w:val="decimal"/>
      <w:lvlText w:val="%1.%2.%3"/>
      <w:lvlJc w:val="left"/>
      <w:pPr>
        <w:ind w:left="1463" w:hanging="764"/>
        <w:jc w:val="left"/>
      </w:pPr>
      <w:rPr>
        <w:rFonts w:hint="default" w:ascii="Tahoma" w:hAnsi="Tahoma" w:eastAsia="Tahoma" w:cs="Tahoma"/>
        <w:spacing w:val="-1"/>
        <w:w w:val="99"/>
        <w:sz w:val="24"/>
        <w:szCs w:val="24"/>
        <w:lang w:val="es-ES" w:eastAsia="en-US" w:bidi="ar-SA"/>
      </w:rPr>
    </w:lvl>
    <w:lvl w:ilvl="3">
      <w:start w:val="0"/>
      <w:numFmt w:val="bullet"/>
      <w:lvlText w:val="•"/>
      <w:lvlJc w:val="left"/>
      <w:pPr>
        <w:ind w:left="3313" w:hanging="764"/>
      </w:pPr>
      <w:rPr>
        <w:rFonts w:hint="default"/>
        <w:lang w:val="es-ES" w:eastAsia="en-US" w:bidi="ar-SA"/>
      </w:rPr>
    </w:lvl>
    <w:lvl w:ilvl="4">
      <w:start w:val="0"/>
      <w:numFmt w:val="bullet"/>
      <w:lvlText w:val="•"/>
      <w:lvlJc w:val="left"/>
      <w:pPr>
        <w:ind w:left="4240" w:hanging="764"/>
      </w:pPr>
      <w:rPr>
        <w:rFonts w:hint="default"/>
        <w:lang w:val="es-ES" w:eastAsia="en-US" w:bidi="ar-SA"/>
      </w:rPr>
    </w:lvl>
    <w:lvl w:ilvl="5">
      <w:start w:val="0"/>
      <w:numFmt w:val="bullet"/>
      <w:lvlText w:val="•"/>
      <w:lvlJc w:val="left"/>
      <w:pPr>
        <w:ind w:left="5166" w:hanging="764"/>
      </w:pPr>
      <w:rPr>
        <w:rFonts w:hint="default"/>
        <w:lang w:val="es-ES" w:eastAsia="en-US" w:bidi="ar-SA"/>
      </w:rPr>
    </w:lvl>
    <w:lvl w:ilvl="6">
      <w:start w:val="0"/>
      <w:numFmt w:val="bullet"/>
      <w:lvlText w:val="•"/>
      <w:lvlJc w:val="left"/>
      <w:pPr>
        <w:ind w:left="6093" w:hanging="764"/>
      </w:pPr>
      <w:rPr>
        <w:rFonts w:hint="default"/>
        <w:lang w:val="es-ES" w:eastAsia="en-US" w:bidi="ar-SA"/>
      </w:rPr>
    </w:lvl>
    <w:lvl w:ilvl="7">
      <w:start w:val="0"/>
      <w:numFmt w:val="bullet"/>
      <w:lvlText w:val="•"/>
      <w:lvlJc w:val="left"/>
      <w:pPr>
        <w:ind w:left="7020" w:hanging="764"/>
      </w:pPr>
      <w:rPr>
        <w:rFonts w:hint="default"/>
        <w:lang w:val="es-ES" w:eastAsia="en-US" w:bidi="ar-SA"/>
      </w:rPr>
    </w:lvl>
    <w:lvl w:ilvl="8">
      <w:start w:val="0"/>
      <w:numFmt w:val="bullet"/>
      <w:lvlText w:val="•"/>
      <w:lvlJc w:val="left"/>
      <w:pPr>
        <w:ind w:left="7946" w:hanging="764"/>
      </w:pPr>
      <w:rPr>
        <w:rFonts w:hint="default"/>
        <w:lang w:val="es-ES" w:eastAsia="en-US" w:bidi="ar-SA"/>
      </w:rPr>
    </w:lvl>
  </w:abstractNum>
  <w:abstractNum w:abstractNumId="3">
    <w:multiLevelType w:val="hybridMultilevel"/>
    <w:lvl w:ilvl="0">
      <w:start w:val="4"/>
      <w:numFmt w:val="decimal"/>
      <w:lvlText w:val="%1"/>
      <w:lvlJc w:val="left"/>
      <w:pPr>
        <w:ind w:left="1259" w:hanging="560"/>
        <w:jc w:val="left"/>
      </w:pPr>
      <w:rPr>
        <w:rFonts w:hint="default"/>
        <w:lang w:val="es-ES" w:eastAsia="en-US" w:bidi="ar-SA"/>
      </w:rPr>
    </w:lvl>
    <w:lvl w:ilvl="1">
      <w:start w:val="1"/>
      <w:numFmt w:val="decimal"/>
      <w:lvlText w:val="%1.%2"/>
      <w:lvlJc w:val="left"/>
      <w:pPr>
        <w:ind w:left="1259" w:hanging="560"/>
        <w:jc w:val="left"/>
      </w:pPr>
      <w:rPr>
        <w:rFonts w:hint="default" w:ascii="Tahoma" w:hAnsi="Tahoma" w:eastAsia="Tahoma" w:cs="Tahoma"/>
        <w:spacing w:val="-1"/>
        <w:w w:val="99"/>
        <w:sz w:val="24"/>
        <w:szCs w:val="24"/>
        <w:lang w:val="es-ES" w:eastAsia="en-US" w:bidi="ar-SA"/>
      </w:rPr>
    </w:lvl>
    <w:lvl w:ilvl="2">
      <w:start w:val="0"/>
      <w:numFmt w:val="bullet"/>
      <w:lvlText w:val="•"/>
      <w:lvlJc w:val="left"/>
      <w:pPr>
        <w:ind w:left="2968" w:hanging="560"/>
      </w:pPr>
      <w:rPr>
        <w:rFonts w:hint="default"/>
        <w:lang w:val="es-ES" w:eastAsia="en-US" w:bidi="ar-SA"/>
      </w:rPr>
    </w:lvl>
    <w:lvl w:ilvl="3">
      <w:start w:val="0"/>
      <w:numFmt w:val="bullet"/>
      <w:lvlText w:val="•"/>
      <w:lvlJc w:val="left"/>
      <w:pPr>
        <w:ind w:left="3822" w:hanging="560"/>
      </w:pPr>
      <w:rPr>
        <w:rFonts w:hint="default"/>
        <w:lang w:val="es-ES" w:eastAsia="en-US" w:bidi="ar-SA"/>
      </w:rPr>
    </w:lvl>
    <w:lvl w:ilvl="4">
      <w:start w:val="0"/>
      <w:numFmt w:val="bullet"/>
      <w:lvlText w:val="•"/>
      <w:lvlJc w:val="left"/>
      <w:pPr>
        <w:ind w:left="4676" w:hanging="560"/>
      </w:pPr>
      <w:rPr>
        <w:rFonts w:hint="default"/>
        <w:lang w:val="es-ES" w:eastAsia="en-US" w:bidi="ar-SA"/>
      </w:rPr>
    </w:lvl>
    <w:lvl w:ilvl="5">
      <w:start w:val="0"/>
      <w:numFmt w:val="bullet"/>
      <w:lvlText w:val="•"/>
      <w:lvlJc w:val="left"/>
      <w:pPr>
        <w:ind w:left="5530" w:hanging="560"/>
      </w:pPr>
      <w:rPr>
        <w:rFonts w:hint="default"/>
        <w:lang w:val="es-ES" w:eastAsia="en-US" w:bidi="ar-SA"/>
      </w:rPr>
    </w:lvl>
    <w:lvl w:ilvl="6">
      <w:start w:val="0"/>
      <w:numFmt w:val="bullet"/>
      <w:lvlText w:val="•"/>
      <w:lvlJc w:val="left"/>
      <w:pPr>
        <w:ind w:left="6384" w:hanging="560"/>
      </w:pPr>
      <w:rPr>
        <w:rFonts w:hint="default"/>
        <w:lang w:val="es-ES" w:eastAsia="en-US" w:bidi="ar-SA"/>
      </w:rPr>
    </w:lvl>
    <w:lvl w:ilvl="7">
      <w:start w:val="0"/>
      <w:numFmt w:val="bullet"/>
      <w:lvlText w:val="•"/>
      <w:lvlJc w:val="left"/>
      <w:pPr>
        <w:ind w:left="7238" w:hanging="560"/>
      </w:pPr>
      <w:rPr>
        <w:rFonts w:hint="default"/>
        <w:lang w:val="es-ES" w:eastAsia="en-US" w:bidi="ar-SA"/>
      </w:rPr>
    </w:lvl>
    <w:lvl w:ilvl="8">
      <w:start w:val="0"/>
      <w:numFmt w:val="bullet"/>
      <w:lvlText w:val="•"/>
      <w:lvlJc w:val="left"/>
      <w:pPr>
        <w:ind w:left="8092" w:hanging="560"/>
      </w:pPr>
      <w:rPr>
        <w:rFonts w:hint="default"/>
        <w:lang w:val="es-ES" w:eastAsia="en-US" w:bidi="ar-SA"/>
      </w:rPr>
    </w:lvl>
  </w:abstractNum>
  <w:abstractNum w:abstractNumId="2">
    <w:multiLevelType w:val="hybridMultilevel"/>
    <w:lvl w:ilvl="0">
      <w:start w:val="3"/>
      <w:numFmt w:val="decimal"/>
      <w:lvlText w:val="%1"/>
      <w:lvlJc w:val="left"/>
      <w:pPr>
        <w:ind w:left="1100" w:hanging="641"/>
        <w:jc w:val="left"/>
      </w:pPr>
      <w:rPr>
        <w:rFonts w:hint="default"/>
        <w:lang w:val="es-ES" w:eastAsia="en-US" w:bidi="ar-SA"/>
      </w:rPr>
    </w:lvl>
    <w:lvl w:ilvl="1">
      <w:start w:val="1"/>
      <w:numFmt w:val="decimal"/>
      <w:lvlText w:val="%1.%2"/>
      <w:lvlJc w:val="left"/>
      <w:pPr>
        <w:ind w:left="1100" w:hanging="641"/>
        <w:jc w:val="left"/>
      </w:pPr>
      <w:rPr>
        <w:rFonts w:hint="default" w:ascii="Tahoma" w:hAnsi="Tahoma" w:eastAsia="Tahoma" w:cs="Tahoma"/>
        <w:spacing w:val="-1"/>
        <w:w w:val="99"/>
        <w:sz w:val="24"/>
        <w:szCs w:val="24"/>
        <w:lang w:val="es-ES" w:eastAsia="en-US" w:bidi="ar-SA"/>
      </w:rPr>
    </w:lvl>
    <w:lvl w:ilvl="2">
      <w:start w:val="1"/>
      <w:numFmt w:val="decimal"/>
      <w:lvlText w:val="%1.%2.%3"/>
      <w:lvlJc w:val="left"/>
      <w:pPr>
        <w:ind w:left="700" w:hanging="840"/>
        <w:jc w:val="left"/>
      </w:pPr>
      <w:rPr>
        <w:rFonts w:hint="default" w:ascii="Tahoma" w:hAnsi="Tahoma" w:eastAsia="Tahoma" w:cs="Tahoma"/>
        <w:spacing w:val="-1"/>
        <w:w w:val="99"/>
        <w:sz w:val="24"/>
        <w:szCs w:val="24"/>
        <w:lang w:val="es-ES" w:eastAsia="en-US" w:bidi="ar-SA"/>
      </w:rPr>
    </w:lvl>
    <w:lvl w:ilvl="3">
      <w:start w:val="0"/>
      <w:numFmt w:val="bullet"/>
      <w:lvlText w:val="•"/>
      <w:lvlJc w:val="left"/>
      <w:pPr>
        <w:ind w:left="2572" w:hanging="840"/>
      </w:pPr>
      <w:rPr>
        <w:rFonts w:hint="default"/>
        <w:lang w:val="es-ES" w:eastAsia="en-US" w:bidi="ar-SA"/>
      </w:rPr>
    </w:lvl>
    <w:lvl w:ilvl="4">
      <w:start w:val="0"/>
      <w:numFmt w:val="bullet"/>
      <w:lvlText w:val="•"/>
      <w:lvlJc w:val="left"/>
      <w:pPr>
        <w:ind w:left="3605" w:hanging="840"/>
      </w:pPr>
      <w:rPr>
        <w:rFonts w:hint="default"/>
        <w:lang w:val="es-ES" w:eastAsia="en-US" w:bidi="ar-SA"/>
      </w:rPr>
    </w:lvl>
    <w:lvl w:ilvl="5">
      <w:start w:val="0"/>
      <w:numFmt w:val="bullet"/>
      <w:lvlText w:val="•"/>
      <w:lvlJc w:val="left"/>
      <w:pPr>
        <w:ind w:left="4637" w:hanging="840"/>
      </w:pPr>
      <w:rPr>
        <w:rFonts w:hint="default"/>
        <w:lang w:val="es-ES" w:eastAsia="en-US" w:bidi="ar-SA"/>
      </w:rPr>
    </w:lvl>
    <w:lvl w:ilvl="6">
      <w:start w:val="0"/>
      <w:numFmt w:val="bullet"/>
      <w:lvlText w:val="•"/>
      <w:lvlJc w:val="left"/>
      <w:pPr>
        <w:ind w:left="5670" w:hanging="840"/>
      </w:pPr>
      <w:rPr>
        <w:rFonts w:hint="default"/>
        <w:lang w:val="es-ES" w:eastAsia="en-US" w:bidi="ar-SA"/>
      </w:rPr>
    </w:lvl>
    <w:lvl w:ilvl="7">
      <w:start w:val="0"/>
      <w:numFmt w:val="bullet"/>
      <w:lvlText w:val="•"/>
      <w:lvlJc w:val="left"/>
      <w:pPr>
        <w:ind w:left="6702" w:hanging="840"/>
      </w:pPr>
      <w:rPr>
        <w:rFonts w:hint="default"/>
        <w:lang w:val="es-ES" w:eastAsia="en-US" w:bidi="ar-SA"/>
      </w:rPr>
    </w:lvl>
    <w:lvl w:ilvl="8">
      <w:start w:val="0"/>
      <w:numFmt w:val="bullet"/>
      <w:lvlText w:val="•"/>
      <w:lvlJc w:val="left"/>
      <w:pPr>
        <w:ind w:left="7735" w:hanging="840"/>
      </w:pPr>
      <w:rPr>
        <w:rFonts w:hint="default"/>
        <w:lang w:val="es-ES" w:eastAsia="en-US" w:bidi="ar-SA"/>
      </w:rPr>
    </w:lvl>
  </w:abstractNum>
  <w:abstractNum w:abstractNumId="1">
    <w:multiLevelType w:val="hybridMultilevel"/>
    <w:lvl w:ilvl="0">
      <w:start w:val="2"/>
      <w:numFmt w:val="decimal"/>
      <w:lvlText w:val="%1"/>
      <w:lvlJc w:val="left"/>
      <w:pPr>
        <w:ind w:left="870" w:hanging="411"/>
        <w:jc w:val="left"/>
      </w:pPr>
      <w:rPr>
        <w:rFonts w:hint="default"/>
        <w:lang w:val="es-ES" w:eastAsia="en-US" w:bidi="ar-SA"/>
      </w:rPr>
    </w:lvl>
    <w:lvl w:ilvl="1">
      <w:start w:val="1"/>
      <w:numFmt w:val="decimal"/>
      <w:lvlText w:val="%1.%2"/>
      <w:lvlJc w:val="left"/>
      <w:pPr>
        <w:ind w:left="870" w:hanging="411"/>
        <w:jc w:val="left"/>
      </w:pPr>
      <w:rPr>
        <w:rFonts w:hint="default" w:ascii="Tahoma" w:hAnsi="Tahoma" w:eastAsia="Tahoma" w:cs="Tahoma"/>
        <w:spacing w:val="-1"/>
        <w:w w:val="99"/>
        <w:sz w:val="24"/>
        <w:szCs w:val="24"/>
        <w:lang w:val="es-ES" w:eastAsia="en-US" w:bidi="ar-SA"/>
      </w:rPr>
    </w:lvl>
    <w:lvl w:ilvl="2">
      <w:start w:val="1"/>
      <w:numFmt w:val="decimal"/>
      <w:lvlText w:val="%1.%2.%3"/>
      <w:lvlJc w:val="left"/>
      <w:pPr>
        <w:ind w:left="1389" w:hanging="690"/>
        <w:jc w:val="left"/>
      </w:pPr>
      <w:rPr>
        <w:rFonts w:hint="default" w:ascii="Tahoma" w:hAnsi="Tahoma" w:eastAsia="Tahoma" w:cs="Tahoma"/>
        <w:spacing w:val="-1"/>
        <w:w w:val="99"/>
        <w:sz w:val="24"/>
        <w:szCs w:val="24"/>
        <w:lang w:val="es-ES" w:eastAsia="en-US" w:bidi="ar-SA"/>
      </w:rPr>
    </w:lvl>
    <w:lvl w:ilvl="3">
      <w:start w:val="0"/>
      <w:numFmt w:val="bullet"/>
      <w:lvlText w:val="•"/>
      <w:lvlJc w:val="left"/>
      <w:pPr>
        <w:ind w:left="2502" w:hanging="690"/>
      </w:pPr>
      <w:rPr>
        <w:rFonts w:hint="default"/>
        <w:lang w:val="es-ES" w:eastAsia="en-US" w:bidi="ar-SA"/>
      </w:rPr>
    </w:lvl>
    <w:lvl w:ilvl="4">
      <w:start w:val="0"/>
      <w:numFmt w:val="bullet"/>
      <w:lvlText w:val="•"/>
      <w:lvlJc w:val="left"/>
      <w:pPr>
        <w:ind w:left="3545" w:hanging="690"/>
      </w:pPr>
      <w:rPr>
        <w:rFonts w:hint="default"/>
        <w:lang w:val="es-ES" w:eastAsia="en-US" w:bidi="ar-SA"/>
      </w:rPr>
    </w:lvl>
    <w:lvl w:ilvl="5">
      <w:start w:val="0"/>
      <w:numFmt w:val="bullet"/>
      <w:lvlText w:val="•"/>
      <w:lvlJc w:val="left"/>
      <w:pPr>
        <w:ind w:left="4587" w:hanging="690"/>
      </w:pPr>
      <w:rPr>
        <w:rFonts w:hint="default"/>
        <w:lang w:val="es-ES" w:eastAsia="en-US" w:bidi="ar-SA"/>
      </w:rPr>
    </w:lvl>
    <w:lvl w:ilvl="6">
      <w:start w:val="0"/>
      <w:numFmt w:val="bullet"/>
      <w:lvlText w:val="•"/>
      <w:lvlJc w:val="left"/>
      <w:pPr>
        <w:ind w:left="5630" w:hanging="690"/>
      </w:pPr>
      <w:rPr>
        <w:rFonts w:hint="default"/>
        <w:lang w:val="es-ES" w:eastAsia="en-US" w:bidi="ar-SA"/>
      </w:rPr>
    </w:lvl>
    <w:lvl w:ilvl="7">
      <w:start w:val="0"/>
      <w:numFmt w:val="bullet"/>
      <w:lvlText w:val="•"/>
      <w:lvlJc w:val="left"/>
      <w:pPr>
        <w:ind w:left="6672" w:hanging="690"/>
      </w:pPr>
      <w:rPr>
        <w:rFonts w:hint="default"/>
        <w:lang w:val="es-ES" w:eastAsia="en-US" w:bidi="ar-SA"/>
      </w:rPr>
    </w:lvl>
    <w:lvl w:ilvl="8">
      <w:start w:val="0"/>
      <w:numFmt w:val="bullet"/>
      <w:lvlText w:val="•"/>
      <w:lvlJc w:val="left"/>
      <w:pPr>
        <w:ind w:left="7715" w:hanging="690"/>
      </w:pPr>
      <w:rPr>
        <w:rFonts w:hint="default"/>
        <w:lang w:val="es-ES" w:eastAsia="en-US" w:bidi="ar-SA"/>
      </w:rPr>
    </w:lvl>
  </w:abstractNum>
  <w:abstractNum w:abstractNumId="0">
    <w:multiLevelType w:val="hybridMultilevel"/>
    <w:lvl w:ilvl="0">
      <w:start w:val="1"/>
      <w:numFmt w:val="decimal"/>
      <w:lvlText w:val="%1"/>
      <w:lvlJc w:val="left"/>
      <w:pPr>
        <w:ind w:left="1019" w:hanging="560"/>
        <w:jc w:val="left"/>
      </w:pPr>
      <w:rPr>
        <w:rFonts w:hint="default"/>
        <w:lang w:val="es-ES" w:eastAsia="en-US" w:bidi="ar-SA"/>
      </w:rPr>
    </w:lvl>
    <w:lvl w:ilvl="1">
      <w:start w:val="1"/>
      <w:numFmt w:val="decimal"/>
      <w:lvlText w:val="%1.%2"/>
      <w:lvlJc w:val="left"/>
      <w:pPr>
        <w:ind w:left="1019" w:hanging="560"/>
        <w:jc w:val="left"/>
      </w:pPr>
      <w:rPr>
        <w:rFonts w:hint="default" w:ascii="Tahoma" w:hAnsi="Tahoma" w:eastAsia="Tahoma" w:cs="Tahoma"/>
        <w:spacing w:val="-1"/>
        <w:w w:val="99"/>
        <w:sz w:val="24"/>
        <w:szCs w:val="24"/>
        <w:lang w:val="es-ES" w:eastAsia="en-US" w:bidi="ar-SA"/>
      </w:rPr>
    </w:lvl>
    <w:lvl w:ilvl="2">
      <w:start w:val="0"/>
      <w:numFmt w:val="bullet"/>
      <w:lvlText w:val="•"/>
      <w:lvlJc w:val="left"/>
      <w:pPr>
        <w:ind w:left="2776" w:hanging="560"/>
      </w:pPr>
      <w:rPr>
        <w:rFonts w:hint="default"/>
        <w:lang w:val="es-ES" w:eastAsia="en-US" w:bidi="ar-SA"/>
      </w:rPr>
    </w:lvl>
    <w:lvl w:ilvl="3">
      <w:start w:val="0"/>
      <w:numFmt w:val="bullet"/>
      <w:lvlText w:val="•"/>
      <w:lvlJc w:val="left"/>
      <w:pPr>
        <w:ind w:left="3654" w:hanging="560"/>
      </w:pPr>
      <w:rPr>
        <w:rFonts w:hint="default"/>
        <w:lang w:val="es-ES" w:eastAsia="en-US" w:bidi="ar-SA"/>
      </w:rPr>
    </w:lvl>
    <w:lvl w:ilvl="4">
      <w:start w:val="0"/>
      <w:numFmt w:val="bullet"/>
      <w:lvlText w:val="•"/>
      <w:lvlJc w:val="left"/>
      <w:pPr>
        <w:ind w:left="4532" w:hanging="560"/>
      </w:pPr>
      <w:rPr>
        <w:rFonts w:hint="default"/>
        <w:lang w:val="es-ES" w:eastAsia="en-US" w:bidi="ar-SA"/>
      </w:rPr>
    </w:lvl>
    <w:lvl w:ilvl="5">
      <w:start w:val="0"/>
      <w:numFmt w:val="bullet"/>
      <w:lvlText w:val="•"/>
      <w:lvlJc w:val="left"/>
      <w:pPr>
        <w:ind w:left="5410" w:hanging="560"/>
      </w:pPr>
      <w:rPr>
        <w:rFonts w:hint="default"/>
        <w:lang w:val="es-ES" w:eastAsia="en-US" w:bidi="ar-SA"/>
      </w:rPr>
    </w:lvl>
    <w:lvl w:ilvl="6">
      <w:start w:val="0"/>
      <w:numFmt w:val="bullet"/>
      <w:lvlText w:val="•"/>
      <w:lvlJc w:val="left"/>
      <w:pPr>
        <w:ind w:left="6288" w:hanging="560"/>
      </w:pPr>
      <w:rPr>
        <w:rFonts w:hint="default"/>
        <w:lang w:val="es-ES" w:eastAsia="en-US" w:bidi="ar-SA"/>
      </w:rPr>
    </w:lvl>
    <w:lvl w:ilvl="7">
      <w:start w:val="0"/>
      <w:numFmt w:val="bullet"/>
      <w:lvlText w:val="•"/>
      <w:lvlJc w:val="left"/>
      <w:pPr>
        <w:ind w:left="7166" w:hanging="560"/>
      </w:pPr>
      <w:rPr>
        <w:rFonts w:hint="default"/>
        <w:lang w:val="es-ES" w:eastAsia="en-US" w:bidi="ar-SA"/>
      </w:rPr>
    </w:lvl>
    <w:lvl w:ilvl="8">
      <w:start w:val="0"/>
      <w:numFmt w:val="bullet"/>
      <w:lvlText w:val="•"/>
      <w:lvlJc w:val="left"/>
      <w:pPr>
        <w:ind w:left="8044" w:hanging="560"/>
      </w:pPr>
      <w:rPr>
        <w:rFonts w:hint="default"/>
        <w:lang w:val="es-ES" w:eastAsia="en-US" w:bidi="ar-SA"/>
      </w:rPr>
    </w:lvl>
  </w:abstractNum>
  <w:num w:numId="60">
    <w:abstractNumId w:val="59"/>
  </w:num>
  <w:num w:numId="59">
    <w:abstractNumId w:val="58"/>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s-ES" w:eastAsia="en-US" w:bidi="ar-SA"/>
    </w:rPr>
  </w:style>
  <w:style w:styleId="TOC1" w:type="paragraph">
    <w:name w:val="TOC 1"/>
    <w:basedOn w:val="Normal"/>
    <w:uiPriority w:val="1"/>
    <w:qFormat/>
    <w:pPr>
      <w:spacing w:before="1"/>
      <w:ind w:left="220"/>
    </w:pPr>
    <w:rPr>
      <w:rFonts w:ascii="Tahoma" w:hAnsi="Tahoma" w:eastAsia="Tahoma" w:cs="Tahoma"/>
      <w:sz w:val="24"/>
      <w:szCs w:val="24"/>
      <w:lang w:val="es-ES" w:eastAsia="en-US" w:bidi="ar-SA"/>
    </w:rPr>
  </w:style>
  <w:style w:styleId="TOC2" w:type="paragraph">
    <w:name w:val="TOC 2"/>
    <w:basedOn w:val="Normal"/>
    <w:uiPriority w:val="1"/>
    <w:qFormat/>
    <w:pPr>
      <w:spacing w:line="289" w:lineRule="exact"/>
      <w:ind w:left="1019" w:hanging="561"/>
    </w:pPr>
    <w:rPr>
      <w:rFonts w:ascii="Tahoma" w:hAnsi="Tahoma" w:eastAsia="Tahoma" w:cs="Tahoma"/>
      <w:sz w:val="24"/>
      <w:szCs w:val="24"/>
      <w:lang w:val="es-ES" w:eastAsia="en-US" w:bidi="ar-SA"/>
    </w:rPr>
  </w:style>
  <w:style w:styleId="TOC3" w:type="paragraph">
    <w:name w:val="TOC 3"/>
    <w:basedOn w:val="Normal"/>
    <w:uiPriority w:val="1"/>
    <w:qFormat/>
    <w:pPr>
      <w:spacing w:line="289" w:lineRule="exact"/>
      <w:ind w:left="460"/>
    </w:pPr>
    <w:rPr>
      <w:rFonts w:ascii="Tahoma" w:hAnsi="Tahoma" w:eastAsia="Tahoma" w:cs="Tahoma"/>
      <w:sz w:val="24"/>
      <w:szCs w:val="24"/>
      <w:lang w:val="es-ES" w:eastAsia="en-US" w:bidi="ar-SA"/>
    </w:rPr>
  </w:style>
  <w:style w:styleId="TOC4" w:type="paragraph">
    <w:name w:val="TOC 4"/>
    <w:basedOn w:val="Normal"/>
    <w:uiPriority w:val="1"/>
    <w:qFormat/>
    <w:pPr>
      <w:ind w:left="1539" w:hanging="841"/>
    </w:pPr>
    <w:rPr>
      <w:rFonts w:ascii="Tahoma" w:hAnsi="Tahoma" w:eastAsia="Tahoma" w:cs="Tahoma"/>
      <w:sz w:val="24"/>
      <w:szCs w:val="24"/>
      <w:lang w:val="es-ES" w:eastAsia="en-US" w:bidi="ar-SA"/>
    </w:rPr>
  </w:style>
  <w:style w:styleId="TOC5" w:type="paragraph">
    <w:name w:val="TOC 5"/>
    <w:basedOn w:val="Normal"/>
    <w:uiPriority w:val="1"/>
    <w:qFormat/>
    <w:pPr>
      <w:spacing w:line="289" w:lineRule="exact"/>
      <w:ind w:left="699"/>
    </w:pPr>
    <w:rPr>
      <w:rFonts w:ascii="Tahoma" w:hAnsi="Tahoma" w:eastAsia="Tahoma" w:cs="Tahoma"/>
      <w:b/>
      <w:bCs/>
      <w:i/>
      <w:lang w:val="es-ES" w:eastAsia="en-US" w:bidi="ar-SA"/>
    </w:rPr>
  </w:style>
  <w:style w:styleId="TOC6" w:type="paragraph">
    <w:name w:val="TOC 6"/>
    <w:basedOn w:val="Normal"/>
    <w:uiPriority w:val="1"/>
    <w:qFormat/>
    <w:pPr>
      <w:ind w:left="700"/>
    </w:pPr>
    <w:rPr>
      <w:rFonts w:ascii="Tahoma" w:hAnsi="Tahoma" w:eastAsia="Tahoma" w:cs="Tahoma"/>
      <w:sz w:val="24"/>
      <w:szCs w:val="24"/>
      <w:lang w:val="es-ES" w:eastAsia="en-US" w:bidi="ar-SA"/>
    </w:rPr>
  </w:style>
  <w:style w:styleId="TOC7" w:type="paragraph">
    <w:name w:val="TOC 7"/>
    <w:basedOn w:val="Normal"/>
    <w:uiPriority w:val="1"/>
    <w:qFormat/>
    <w:pPr>
      <w:spacing w:line="289" w:lineRule="exact"/>
      <w:ind w:left="939"/>
    </w:pPr>
    <w:rPr>
      <w:rFonts w:ascii="Tahoma" w:hAnsi="Tahoma" w:eastAsia="Tahoma" w:cs="Tahoma"/>
      <w:sz w:val="24"/>
      <w:szCs w:val="24"/>
      <w:lang w:val="es-ES" w:eastAsia="en-US" w:bidi="ar-SA"/>
    </w:rPr>
  </w:style>
  <w:style w:styleId="TOC8" w:type="paragraph">
    <w:name w:val="TOC 8"/>
    <w:basedOn w:val="Normal"/>
    <w:uiPriority w:val="1"/>
    <w:qFormat/>
    <w:pPr>
      <w:spacing w:before="1" w:line="289" w:lineRule="exact"/>
      <w:ind w:left="940"/>
    </w:pPr>
    <w:rPr>
      <w:rFonts w:ascii="Tahoma" w:hAnsi="Tahoma" w:eastAsia="Tahoma" w:cs="Tahoma"/>
      <w:sz w:val="24"/>
      <w:szCs w:val="24"/>
      <w:lang w:val="es-ES" w:eastAsia="en-US" w:bidi="ar-SA"/>
    </w:rPr>
  </w:style>
  <w:style w:styleId="BodyText" w:type="paragraph">
    <w:name w:val="Body Text"/>
    <w:basedOn w:val="Normal"/>
    <w:uiPriority w:val="1"/>
    <w:qFormat/>
    <w:pPr/>
    <w:rPr>
      <w:rFonts w:ascii="Tahoma" w:hAnsi="Tahoma" w:eastAsia="Tahoma" w:cs="Tahoma"/>
      <w:sz w:val="23"/>
      <w:szCs w:val="23"/>
      <w:lang w:val="es-ES" w:eastAsia="en-US" w:bidi="ar-SA"/>
    </w:rPr>
  </w:style>
  <w:style w:styleId="Heading1" w:type="paragraph">
    <w:name w:val="Heading 1"/>
    <w:basedOn w:val="Normal"/>
    <w:uiPriority w:val="1"/>
    <w:qFormat/>
    <w:pPr>
      <w:spacing w:before="48"/>
      <w:ind w:left="522" w:right="523"/>
      <w:jc w:val="center"/>
      <w:outlineLvl w:val="1"/>
    </w:pPr>
    <w:rPr>
      <w:rFonts w:ascii="Verdana" w:hAnsi="Verdana" w:eastAsia="Verdana" w:cs="Verdana"/>
      <w:b/>
      <w:bCs/>
      <w:sz w:val="28"/>
      <w:szCs w:val="28"/>
      <w:lang w:val="es-ES" w:eastAsia="en-US" w:bidi="ar-SA"/>
    </w:rPr>
  </w:style>
  <w:style w:styleId="Heading2" w:type="paragraph">
    <w:name w:val="Heading 2"/>
    <w:basedOn w:val="Normal"/>
    <w:uiPriority w:val="1"/>
    <w:qFormat/>
    <w:pPr>
      <w:ind w:left="1319" w:hanging="1080"/>
      <w:outlineLvl w:val="2"/>
    </w:pPr>
    <w:rPr>
      <w:rFonts w:ascii="Verdana" w:hAnsi="Verdana" w:eastAsia="Verdana" w:cs="Verdana"/>
      <w:b/>
      <w:bCs/>
      <w:sz w:val="26"/>
      <w:szCs w:val="26"/>
      <w:lang w:val="es-ES" w:eastAsia="en-US" w:bidi="ar-SA"/>
    </w:rPr>
  </w:style>
  <w:style w:styleId="Heading3" w:type="paragraph">
    <w:name w:val="Heading 3"/>
    <w:basedOn w:val="Normal"/>
    <w:uiPriority w:val="1"/>
    <w:qFormat/>
    <w:pPr>
      <w:ind w:left="1319"/>
      <w:outlineLvl w:val="3"/>
    </w:pPr>
    <w:rPr>
      <w:rFonts w:ascii="Times New Roman" w:hAnsi="Times New Roman" w:eastAsia="Times New Roman" w:cs="Times New Roman"/>
      <w:b/>
      <w:bCs/>
      <w:i/>
      <w:sz w:val="26"/>
      <w:szCs w:val="26"/>
      <w:lang w:val="es-ES" w:eastAsia="en-US" w:bidi="ar-SA"/>
    </w:rPr>
  </w:style>
  <w:style w:styleId="Heading4" w:type="paragraph">
    <w:name w:val="Heading 4"/>
    <w:basedOn w:val="Normal"/>
    <w:uiPriority w:val="1"/>
    <w:qFormat/>
    <w:pPr>
      <w:ind w:left="1319" w:hanging="1080"/>
      <w:outlineLvl w:val="4"/>
    </w:pPr>
    <w:rPr>
      <w:rFonts w:ascii="Verdana" w:hAnsi="Verdana" w:eastAsia="Verdana" w:cs="Verdana"/>
      <w:b/>
      <w:bCs/>
      <w:sz w:val="25"/>
      <w:szCs w:val="25"/>
      <w:lang w:val="es-ES" w:eastAsia="en-US" w:bidi="ar-SA"/>
    </w:rPr>
  </w:style>
  <w:style w:styleId="Heading5" w:type="paragraph">
    <w:name w:val="Heading 5"/>
    <w:basedOn w:val="Normal"/>
    <w:uiPriority w:val="1"/>
    <w:qFormat/>
    <w:pPr>
      <w:ind w:left="1299" w:hanging="1080"/>
      <w:outlineLvl w:val="5"/>
    </w:pPr>
    <w:rPr>
      <w:rFonts w:ascii="Verdana" w:hAnsi="Verdana" w:eastAsia="Verdana" w:cs="Verdana"/>
      <w:b/>
      <w:bCs/>
      <w:sz w:val="24"/>
      <w:szCs w:val="24"/>
      <w:lang w:val="es-ES" w:eastAsia="en-US" w:bidi="ar-SA"/>
    </w:rPr>
  </w:style>
  <w:style w:styleId="Heading6" w:type="paragraph">
    <w:name w:val="Heading 6"/>
    <w:basedOn w:val="Normal"/>
    <w:uiPriority w:val="1"/>
    <w:qFormat/>
    <w:pPr>
      <w:ind w:left="2380" w:hanging="361"/>
      <w:outlineLvl w:val="6"/>
    </w:pPr>
    <w:rPr>
      <w:rFonts w:ascii="Tahoma" w:hAnsi="Tahoma" w:eastAsia="Tahoma" w:cs="Tahoma"/>
      <w:b/>
      <w:bCs/>
      <w:i/>
      <w:sz w:val="24"/>
      <w:szCs w:val="24"/>
      <w:lang w:val="es-ES" w:eastAsia="en-US" w:bidi="ar-SA"/>
    </w:rPr>
  </w:style>
  <w:style w:styleId="Heading7" w:type="paragraph">
    <w:name w:val="Heading 7"/>
    <w:basedOn w:val="Normal"/>
    <w:uiPriority w:val="1"/>
    <w:qFormat/>
    <w:pPr>
      <w:spacing w:before="20"/>
      <w:ind w:left="60"/>
      <w:outlineLvl w:val="7"/>
    </w:pPr>
    <w:rPr>
      <w:rFonts w:ascii="Tahoma" w:hAnsi="Tahoma" w:eastAsia="Tahoma" w:cs="Tahoma"/>
      <w:sz w:val="24"/>
      <w:szCs w:val="24"/>
      <w:lang w:val="es-ES" w:eastAsia="en-US" w:bidi="ar-SA"/>
    </w:rPr>
  </w:style>
  <w:style w:styleId="Heading8" w:type="paragraph">
    <w:name w:val="Heading 8"/>
    <w:basedOn w:val="Normal"/>
    <w:uiPriority w:val="1"/>
    <w:qFormat/>
    <w:pPr>
      <w:spacing w:line="288" w:lineRule="exact"/>
      <w:ind w:left="940" w:hanging="361"/>
      <w:jc w:val="both"/>
      <w:outlineLvl w:val="8"/>
    </w:pPr>
    <w:rPr>
      <w:rFonts w:ascii="Tahoma" w:hAnsi="Tahoma" w:eastAsia="Tahoma" w:cs="Tahoma"/>
      <w:i/>
      <w:sz w:val="24"/>
      <w:szCs w:val="24"/>
      <w:u w:val="single" w:color="000000"/>
      <w:lang w:val="es-ES" w:eastAsia="en-US" w:bidi="ar-SA"/>
    </w:rPr>
  </w:style>
  <w:style w:styleId="Heading9" w:type="paragraph">
    <w:name w:val="Heading 9"/>
    <w:basedOn w:val="Normal"/>
    <w:uiPriority w:val="1"/>
    <w:qFormat/>
    <w:pPr>
      <w:ind w:left="239"/>
      <w:outlineLvl w:val="9"/>
    </w:pPr>
    <w:rPr>
      <w:rFonts w:ascii="Tahoma" w:hAnsi="Tahoma" w:eastAsia="Tahoma" w:cs="Tahoma"/>
      <w:b/>
      <w:bCs/>
      <w:sz w:val="23"/>
      <w:szCs w:val="23"/>
      <w:lang w:val="es-ES" w:eastAsia="en-US" w:bidi="ar-SA"/>
    </w:rPr>
  </w:style>
  <w:style w:styleId="Title" w:type="paragraph">
    <w:name w:val="Title"/>
    <w:basedOn w:val="Normal"/>
    <w:uiPriority w:val="1"/>
    <w:qFormat/>
    <w:pPr>
      <w:ind w:left="523" w:right="523"/>
      <w:jc w:val="center"/>
    </w:pPr>
    <w:rPr>
      <w:rFonts w:ascii="Tahoma" w:hAnsi="Tahoma" w:eastAsia="Tahoma" w:cs="Tahoma"/>
      <w:b/>
      <w:bCs/>
      <w:i/>
      <w:sz w:val="33"/>
      <w:szCs w:val="33"/>
      <w:lang w:val="es-ES" w:eastAsia="en-US" w:bidi="ar-SA"/>
    </w:rPr>
  </w:style>
  <w:style w:styleId="ListParagraph" w:type="paragraph">
    <w:name w:val="List Paragraph"/>
    <w:basedOn w:val="Normal"/>
    <w:uiPriority w:val="1"/>
    <w:qFormat/>
    <w:pPr>
      <w:ind w:left="939" w:hanging="360"/>
      <w:jc w:val="both"/>
    </w:pPr>
    <w:rPr>
      <w:rFonts w:ascii="Tahoma" w:hAnsi="Tahoma" w:eastAsia="Tahoma" w:cs="Tahoma"/>
      <w:lang w:val="es-ES" w:eastAsia="en-US" w:bidi="ar-SA"/>
    </w:rPr>
  </w:style>
  <w:style w:styleId="TableParagraph" w:type="paragraph">
    <w:name w:val="Table Paragraph"/>
    <w:basedOn w:val="Normal"/>
    <w:uiPriority w:val="1"/>
    <w:qFormat/>
    <w:pPr/>
    <w:rPr>
      <w:rFonts w:ascii="Tahoma" w:hAnsi="Tahoma" w:eastAsia="Tahoma" w:cs="Tahom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image" Target="media/image26.png"/><Relationship Id="rId43" Type="http://schemas.openxmlformats.org/officeDocument/2006/relationships/image" Target="media/image27.png"/><Relationship Id="rId44" Type="http://schemas.openxmlformats.org/officeDocument/2006/relationships/image" Target="media/image28.png"/><Relationship Id="rId45" Type="http://schemas.openxmlformats.org/officeDocument/2006/relationships/image" Target="media/image29.png"/><Relationship Id="rId46" Type="http://schemas.openxmlformats.org/officeDocument/2006/relationships/image" Target="media/image30.png"/><Relationship Id="rId47" Type="http://schemas.openxmlformats.org/officeDocument/2006/relationships/image" Target="media/image31.png"/><Relationship Id="rId48" Type="http://schemas.openxmlformats.org/officeDocument/2006/relationships/image" Target="media/image32.png"/><Relationship Id="rId49" Type="http://schemas.openxmlformats.org/officeDocument/2006/relationships/image" Target="media/image33.png"/><Relationship Id="rId50" Type="http://schemas.openxmlformats.org/officeDocument/2006/relationships/image" Target="media/image34.png"/><Relationship Id="rId51" Type="http://schemas.openxmlformats.org/officeDocument/2006/relationships/image" Target="media/image35.png"/><Relationship Id="rId52" Type="http://schemas.openxmlformats.org/officeDocument/2006/relationships/image" Target="media/image36.png"/><Relationship Id="rId53" Type="http://schemas.openxmlformats.org/officeDocument/2006/relationships/image" Target="media/image37.png"/><Relationship Id="rId54" Type="http://schemas.openxmlformats.org/officeDocument/2006/relationships/image" Target="media/image38.png"/><Relationship Id="rId55" Type="http://schemas.openxmlformats.org/officeDocument/2006/relationships/image" Target="media/image39.png"/><Relationship Id="rId56" Type="http://schemas.openxmlformats.org/officeDocument/2006/relationships/image" Target="media/image40.png"/><Relationship Id="rId57" Type="http://schemas.openxmlformats.org/officeDocument/2006/relationships/image" Target="media/image41.png"/><Relationship Id="rId58" Type="http://schemas.openxmlformats.org/officeDocument/2006/relationships/header" Target="header7.xml"/><Relationship Id="rId59" Type="http://schemas.openxmlformats.org/officeDocument/2006/relationships/footer" Target="footer7.xml"/><Relationship Id="rId60" Type="http://schemas.openxmlformats.org/officeDocument/2006/relationships/header" Target="header8.xml"/><Relationship Id="rId61" Type="http://schemas.openxmlformats.org/officeDocument/2006/relationships/footer" Target="footer8.xml"/><Relationship Id="rId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\376\377\000f\000l\000a\000n\000d\000e\000s\000t\000o\000y</dc:creator>
  <dc:title>\376\377\000P\000l\000a\000n\000 \000E\000n\000e\000r\000g\000\351\000t\000i\000c\000o\000 \000N\000a\000c\000i\000o\000n\000a\000l\000 \0002\0000\0001\0000\000 \000-\000 \0002\0000\0002\0005\000 \000_\0002\0000\0001\0000\000_</dc:title>
  <dcterms:created xsi:type="dcterms:W3CDTF">2020-12-01T14:28:25Z</dcterms:created>
  <dcterms:modified xsi:type="dcterms:W3CDTF">2020-12-01T14:28:25Z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2020-12-01T00:00:00Z</vt:filetime>
  </property>
</Properties>
</file>